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F41E57" w14:textId="77777777" w:rsidR="0025669A" w:rsidRDefault="0025669A" w:rsidP="0025669A">
      <w:pPr>
        <w:shd w:val="clear" w:color="auto" w:fill="FFFFFF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520209098"/>
    </w:p>
    <w:p w14:paraId="105EA677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A24CD0B" w14:textId="77777777" w:rsidR="0025669A" w:rsidRDefault="0025669A" w:rsidP="00256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r w:rsidRPr="00EA0494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Порядок упакування поштових відправлень</w:t>
      </w:r>
    </w:p>
    <w:p w14:paraId="10DAE01D" w14:textId="77777777" w:rsidR="0025669A" w:rsidRDefault="0025669A" w:rsidP="00256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14:paraId="37D46618" w14:textId="77777777" w:rsidR="0025669A" w:rsidRPr="00EA0494" w:rsidRDefault="0025669A" w:rsidP="002566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14:paraId="6A5D6AFA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1CDDE4DF" w14:textId="77777777" w:rsidR="0025669A" w:rsidRPr="00EA0494" w:rsidRDefault="0025669A" w:rsidP="0025669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Порядок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упакування поштових відправлень (далі – Порядок)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розроблено відповідно до вимог Правил надання послуг поштового зв'язку, затверджених постановою Кабінету Міністрів України від 05.03.2009 № 270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 редакції постанови Кабінету Міністрів України від 10.10.2023 № 1071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(далі – Правила).</w:t>
      </w:r>
    </w:p>
    <w:p w14:paraId="07A1EFA5" w14:textId="77777777" w:rsidR="0025669A" w:rsidRPr="00EA0494" w:rsidRDefault="0025669A" w:rsidP="0025669A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цьому Порядку терміни вживаються у значенні, наведеному в Законі України «Про поштовий зв'язок» та Правилах.</w:t>
      </w:r>
    </w:p>
    <w:p w14:paraId="6A733BFE" w14:textId="77777777" w:rsidR="0025669A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3. У</w:t>
      </w:r>
      <w:r w:rsidRPr="00C0402E">
        <w:rPr>
          <w:rFonts w:ascii="Times New Roman" w:eastAsia="Times New Roman" w:hAnsi="Times New Roman" w:cs="Times New Roman"/>
          <w:sz w:val="28"/>
          <w:szCs w:val="28"/>
          <w:lang w:eastAsia="uk-UA"/>
        </w:rPr>
        <w:t>пакування поштових відправлень залежно від вкладення установлюється операторами поштового зв</w:t>
      </w:r>
      <w:r w:rsidRPr="00C0402E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r w:rsidRPr="00C040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язку. 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Оператор поштового зв</w:t>
      </w:r>
      <w:r w:rsidRPr="00EA049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язку може відмовити  відправнику в прийманні поштового відправлення, якщо його упаковка не відповідає вимогам порядку упакування, визначеного оператором поштового зв</w:t>
      </w:r>
      <w:r w:rsidRPr="00EA049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’язку.</w:t>
      </w:r>
    </w:p>
    <w:p w14:paraId="61D1822C" w14:textId="77777777" w:rsidR="0025669A" w:rsidRPr="00C0402E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4. </w:t>
      </w:r>
      <w:r w:rsidRPr="00C0402E">
        <w:rPr>
          <w:rFonts w:ascii="Times New Roman" w:eastAsia="Times New Roman" w:hAnsi="Times New Roman" w:cs="Times New Roman"/>
          <w:sz w:val="28"/>
          <w:szCs w:val="28"/>
          <w:lang w:eastAsia="uk-UA"/>
        </w:rPr>
        <w:t>Упакування відправлен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ь – це комплекс операцій</w:t>
      </w:r>
      <w:r w:rsidRPr="00C0402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з:</w:t>
      </w:r>
    </w:p>
    <w:p w14:paraId="3D7BB856" w14:textId="77777777" w:rsidR="0025669A" w:rsidRPr="00EA0494" w:rsidRDefault="0025669A" w:rsidP="0025669A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розміщення вкладення  у пакувальну тару (ящик, коробку, мішок, цупкий папір, поліетиленову плівку тощо);</w:t>
      </w:r>
    </w:p>
    <w:p w14:paraId="4E5B99BA" w14:textId="77777777" w:rsidR="0025669A" w:rsidRPr="00233923" w:rsidRDefault="0025669A" w:rsidP="0025669A">
      <w:pPr>
        <w:numPr>
          <w:ilvl w:val="0"/>
          <w:numId w:val="19"/>
        </w:numPr>
        <w:tabs>
          <w:tab w:val="num" w:pos="426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упакування окремих елементів вкладення, підклеювання клапанів, прорізування вентиляційних отворів тощо, за виконання яких працівником</w:t>
      </w:r>
      <w:r w:rsidRPr="00B11AA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об'єкта поштового зв'язку стягується додаткова плата відповідно до діючих тарифів на інші послуги поштового зв'язку.</w:t>
      </w:r>
      <w:r w:rsidRPr="0023392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2B255049" w14:textId="77777777" w:rsidR="0025669A" w:rsidRPr="00233923" w:rsidRDefault="0025669A" w:rsidP="0025669A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33923">
        <w:rPr>
          <w:rFonts w:ascii="Times New Roman" w:eastAsia="Times New Roman" w:hAnsi="Times New Roman" w:cs="Times New Roman"/>
          <w:sz w:val="28"/>
          <w:szCs w:val="28"/>
          <w:lang w:eastAsia="uk-UA"/>
        </w:rPr>
        <w:t>Упаковка поштового відправлення може обиратися відправником залежно від форми та характеру вкладення, виду поштового відправлення з урахуванням часу на пересилання, інших умов пересилання, а також унеможливлення заподіяння шкоди життю та здоров’ю працівників поштового зв’язку або третіх осіб, забруднення чи псування (пошкодження) інших поштових відправлень та поштового обладнання.</w:t>
      </w:r>
    </w:p>
    <w:p w14:paraId="5185C095" w14:textId="77777777" w:rsidR="0025669A" w:rsidRDefault="0025669A" w:rsidP="0025669A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4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Відповідальність за забезпечення належної упаковки поштового відправлення покладається на відправника. Пакування має забезпечувати </w:t>
      </w:r>
      <w:r w:rsidRPr="00AB463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достатній рі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вень захисту вмісту поштового</w:t>
      </w:r>
      <w:r w:rsidRPr="00AB46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відправлення від ризиків пошкодження, що виникають при транспортуванні, обробці та сортуванні як в ручному режимі так і з використанням автоматизованого сортувального обладнання та автоматичних пристроїв для завантаження, перевантаження та розвантаження, а також при необхідності, різких змін клімату, температури або при перевезенні повітряним шляхом, коливань атмосферного тиску. </w:t>
      </w:r>
    </w:p>
    <w:p w14:paraId="3228A0B9" w14:textId="3F93C5D2" w:rsidR="0025669A" w:rsidRPr="008E0E87" w:rsidRDefault="0025669A" w:rsidP="001300E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</w:t>
      </w:r>
      <w:r w:rsidRPr="008E0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Поштові  відправлення  з пошкодженими,  забрудненими упаковками  чи  без належного упакування пересиланню не підлягають і повертаються відправникам. </w:t>
      </w:r>
    </w:p>
    <w:p w14:paraId="5BAA99A5" w14:textId="77777777" w:rsidR="0025669A" w:rsidRPr="00A96CC0" w:rsidRDefault="0025669A" w:rsidP="0025669A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96CC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Вкладення повинно бути упаковане у пакувальну тару таким чином щоб унеможливлювало його переміщення в упаковці, тертя чи ударів між самими предметами або між предметами і стінками ящика. Всі пустоти мають бути заповнені наповнювачем (ущільнювач пінопластовий, повітряно-бульбашкова плівка, гофрований картон).</w:t>
      </w:r>
    </w:p>
    <w:p w14:paraId="3AD530E0" w14:textId="77777777" w:rsidR="0025669A" w:rsidRPr="00A96CC0" w:rsidRDefault="0025669A" w:rsidP="0025669A">
      <w:pPr>
        <w:pStyle w:val="a3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96CC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 разі пересилання поштового відправлення у заводській упаковці, яка відповідає вимогам цього Порядку, поштове відправлення може додатково не пакуватися.</w:t>
      </w:r>
    </w:p>
    <w:p w14:paraId="1FC0C45D" w14:textId="77777777" w:rsidR="0025669A" w:rsidRPr="00A96CC0" w:rsidRDefault="0025669A" w:rsidP="0025669A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1" w:name="o342"/>
      <w:bookmarkStart w:id="2" w:name="o343"/>
      <w:bookmarkEnd w:id="1"/>
      <w:bookmarkEnd w:id="2"/>
      <w:r w:rsidRPr="00A96CC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Розмір відправлення в упаковці, довжина сторони (мм), маса (кг) повинен відповідати вимогам, визначених у внутрішніх нормативних документів,</w:t>
      </w:r>
      <w:r w:rsidRPr="00A96CC0" w:rsidDel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A96CC0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затверджених наказами АТ «Укрпошта».</w:t>
      </w:r>
    </w:p>
    <w:p w14:paraId="4139E619" w14:textId="77777777" w:rsidR="0025669A" w:rsidRPr="00773747" w:rsidRDefault="0025669A" w:rsidP="0025669A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96CC0">
        <w:rPr>
          <w:rFonts w:ascii="Times New Roman" w:eastAsia="Times New Roman" w:hAnsi="Times New Roman" w:cs="Times New Roman"/>
          <w:sz w:val="28"/>
          <w:szCs w:val="28"/>
          <w:lang w:eastAsia="uk-UA"/>
        </w:rPr>
        <w:t>Тара, що використовується для упакування поштових відправлень: поштові конверти, спеціальні конверти з полімерних матеріалів (поліетиленові пакети), цупкий папір, футляри, коробки, мішки, торбинки, пакети із повітряною вставкою, гофровані картонні ящики тощо (зразки пакувальної тари, що використовується при прийманні для пересилання відправлень у об'єктах поштового зв'язку розміщуються на сайті Товариства). </w:t>
      </w:r>
    </w:p>
    <w:p w14:paraId="749DEDD4" w14:textId="77777777" w:rsidR="0025669A" w:rsidRPr="00A96CC0" w:rsidRDefault="0025669A" w:rsidP="0025669A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A96CC0">
        <w:rPr>
          <w:rFonts w:ascii="Times New Roman" w:eastAsia="Times New Roman" w:hAnsi="Times New Roman" w:cs="Times New Roman"/>
          <w:sz w:val="28"/>
          <w:szCs w:val="28"/>
          <w:lang w:eastAsia="uk-UA"/>
        </w:rPr>
        <w:t>Особливості упакування предметів, речей:</w:t>
      </w:r>
    </w:p>
    <w:p w14:paraId="69B9D00E" w14:textId="77777777" w:rsidR="0025669A" w:rsidRPr="00235410" w:rsidRDefault="0025669A" w:rsidP="0025669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12.1. </w:t>
      </w:r>
      <w:r w:rsidRPr="00235410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відправлення техніки та електроніки підлягає додатковому упакуванню в гофровану картонну упаковку;</w:t>
      </w:r>
    </w:p>
    <w:p w14:paraId="186F949C" w14:textId="77777777" w:rsidR="0025669A" w:rsidRPr="00EA0494" w:rsidRDefault="0025669A" w:rsidP="0025669A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кладення у середині тари не повинно переміщатися для цього використовуються захисні матеріали (ущільнювач пінопластовий, повітряно-бульбашкова плівка, гофрований картон) (Рис.1).  </w:t>
      </w:r>
    </w:p>
    <w:p w14:paraId="0BA4F141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33573BBE" wp14:editId="349BBB1F">
                <wp:extent cx="304800" cy="304800"/>
                <wp:effectExtent l="0" t="0" r="0" b="0"/>
                <wp:docPr id="16" name="Прямокутник 16" descr="C:\Windows\TEMP\msohtmlclip1\01\clip_image00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989D74" id="Прямокутник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6SQlwCAwAAA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​ </w: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5666F99" wp14:editId="0DA009BD">
            <wp:extent cx="5263487" cy="2533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19" cy="2577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7F027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E54E214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Рис.1 Упакування техніки та електроніки</w:t>
      </w:r>
    </w:p>
    <w:p w14:paraId="19721846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19E469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         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12.2.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предмети одягу, килимові та інші м'які вироби можуть упаковуватися у м'яку оболонку (тканину або стретч-плівку) (таке вкладення доцільно попередньо упаковувати в поліетилено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ву плівку або пакет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) (Рис.2).</w:t>
      </w:r>
    </w:p>
    <w:p w14:paraId="015C65B7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          Також можуть прийматися до пересилання м'які вироби упаковані споживачем  у два шари стретч – плівки, яка має міцність, стійкість до розриву, проколу, продавлювання, шари якої щільно прилягають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один до одного і під час обмотування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утворюють  герметичну упаковку.</w:t>
      </w:r>
    </w:p>
    <w:p w14:paraId="50B6E197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4770771A" wp14:editId="4095F62A">
                <wp:extent cx="304800" cy="304800"/>
                <wp:effectExtent l="0" t="0" r="0" b="0"/>
                <wp:docPr id="15" name="Прямокутник 15" descr="C:\Windows\TEMP\msohtmlclip1\01\clip_image0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874C36" id="Прямокутник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Ed/8ACAwAAA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4117B4E" wp14:editId="3DB43534">
            <wp:extent cx="4803775" cy="2585156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99" cy="266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93BF8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​ Рис. 2 Упакування м'яких виробів</w:t>
      </w:r>
    </w:p>
    <w:p w14:paraId="7E7E5D6D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50D3119D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12.3.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скляні чи інші крихкі предмети (кожен предмет окремо обгортається  повітряно-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бульбашковою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плівкою) упаковуються в ящик, виготовлений з тришарового гофрованого картону або дерев'яний ящик, заповнений відповідним захисним матеріалом (ущільнювач пінопластовий, повітряно-бульбашкова плівка, гофрованим картон тощо) або заводське пакування з перегородками (Рис.3).</w:t>
      </w:r>
    </w:p>
    <w:p w14:paraId="4C5786FB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569EBE0" wp14:editId="0B8ABE01">
            <wp:extent cx="4769492" cy="31139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165" cy="314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227F2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32343D0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Рис. 3 Упакування скляних чи інших крихких предметів</w:t>
      </w:r>
    </w:p>
    <w:p w14:paraId="7AED2E51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         </w:t>
      </w:r>
    </w:p>
    <w:p w14:paraId="41034D48" w14:textId="77777777" w:rsidR="0025669A" w:rsidRPr="00EA0494" w:rsidRDefault="0025669A" w:rsidP="002566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12.4.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будь-які рідини (у тому числі автокосметика, шампуні, поліролі, масло для авто, мед тощо) в пластиковій чи металевій тарі, будь-які рідини в пляшках, у тому числі, що зверху мають механізм із розпи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лювачем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упаковуються у ящик виготовлений з тришарового гофрованого картону або упаковуються у два шари стретч-плівки, щоб не допустити витоку вмісту. </w:t>
      </w:r>
    </w:p>
    <w:p w14:paraId="36B8A829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          Горловини пластикової чи металевої тари, які не мають спеціальної пломби чи замка, який запобігає відкриванню тари, у тому числі пляшки, що зверху мають механізм із розпилювачем мають бути додатково упаковані у два шари стретч-плівки. (Рис.4).​</w:t>
      </w:r>
    </w:p>
    <w:p w14:paraId="65180109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4ECB5CC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80732CA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346DDC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1678224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AF8643C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4A7E6BB" wp14:editId="184B80E2">
            <wp:extent cx="171450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225" t="44936" r="13717" b="15884"/>
                    <a:stretch/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39C15A0" wp14:editId="35F66574">
            <wp:extent cx="2003246" cy="1681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023" t="28777" r="2013" b="47316"/>
                    <a:stretch/>
                  </pic:blipFill>
                  <pic:spPr bwMode="auto">
                    <a:xfrm flipH="1">
                      <a:off x="0" y="0"/>
                      <a:ext cx="2170615" cy="182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A44BC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E9BD2B7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AEF77F8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489EF42C" wp14:editId="150A1E71">
                <wp:extent cx="304800" cy="304800"/>
                <wp:effectExtent l="0" t="0" r="0" b="0"/>
                <wp:docPr id="14" name="Прямокутник 14" descr="Рис.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8B7BB7" id="Прямокутник 14" o:spid="_x0000_s1026" alt="Рис.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JWKBfkAgAA2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03EA274" wp14:editId="3DEB07F8">
            <wp:extent cx="5085241" cy="206438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26" t="40109" r="298"/>
                    <a:stretch/>
                  </pic:blipFill>
                  <pic:spPr bwMode="auto">
                    <a:xfrm>
                      <a:off x="0" y="0"/>
                      <a:ext cx="5168136" cy="20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A357E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Рис. 4 Упакування рідин </w:t>
      </w:r>
    </w:p>
    <w:p w14:paraId="3142F8CB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43A49C1B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FA23F12" w14:textId="77777777" w:rsidR="001300E6" w:rsidRDefault="001300E6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5A8436" w14:textId="77777777" w:rsidR="001300E6" w:rsidRDefault="001300E6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18EC9F6" w14:textId="77777777" w:rsidR="001300E6" w:rsidRDefault="001300E6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DE69AA4" w14:textId="77777777" w:rsidR="001300E6" w:rsidRDefault="001300E6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2C748DE" w14:textId="77777777" w:rsidR="001300E6" w:rsidRDefault="001300E6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2432479" w14:textId="77777777" w:rsidR="001300E6" w:rsidRPr="00EA0494" w:rsidRDefault="001300E6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D0594F2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        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12.5.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сухі барвники, такі як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анілова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синька та ін., небарвні сухі порошки, фарбувальні порошки повинні уміщатись в міцні ємності (ящик, мішок), які в свою чергу повинні також уміщатись у ящик (Рис.5).</w:t>
      </w:r>
    </w:p>
    <w:p w14:paraId="7A2FD948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AFA967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6028CD7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AE1E554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7C9D8809" wp14:editId="4278C465">
            <wp:extent cx="1318260" cy="1516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282" t="58660" r="36750" b="23852"/>
                    <a:stretch/>
                  </pic:blipFill>
                  <pic:spPr bwMode="auto">
                    <a:xfrm>
                      <a:off x="0" y="0"/>
                      <a:ext cx="131826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2E132BBD" wp14:editId="3081AB5B">
            <wp:extent cx="2385060" cy="1539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995" t="46486" r="52189" b="35584"/>
                    <a:stretch/>
                  </pic:blipFill>
                  <pic:spPr bwMode="auto">
                    <a:xfrm>
                      <a:off x="0" y="0"/>
                      <a:ext cx="238506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99796A6" wp14:editId="477B6147">
            <wp:extent cx="1447800" cy="1531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2339" t="51798" r="18199" b="26508"/>
                    <a:stretch/>
                  </pic:blipFill>
                  <pic:spPr bwMode="auto">
                    <a:xfrm>
                      <a:off x="0" y="0"/>
                      <a:ext cx="144780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79D75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34FCE1D" wp14:editId="07A308E7">
            <wp:extent cx="4982845" cy="1409616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16"/>
                    <a:stretch/>
                  </pic:blipFill>
                  <pic:spPr bwMode="auto">
                    <a:xfrm>
                      <a:off x="0" y="0"/>
                      <a:ext cx="5021474" cy="142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07875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49A9EA02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​ Рис. 5 Упакування барвників</w:t>
      </w:r>
    </w:p>
    <w:p w14:paraId="16832FD6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1CEE7CE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99F931E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12.6.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сипучі матеріали та сухі суміші, в залежності від розмірів початкової оболонки, упаковуються в мішок  або упаковуються в стретч-плівку не менше ніж двома шарами (Рис.6).</w:t>
      </w:r>
    </w:p>
    <w:p w14:paraId="39DBB21A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 wp14:anchorId="14993BA5" wp14:editId="5591E57C">
                <wp:extent cx="304800" cy="304800"/>
                <wp:effectExtent l="0" t="0" r="0" b="0"/>
                <wp:docPr id="13" name="Прямокутник 13" descr="C:\Windows\TEMP\msohtmlclip1\01\clip_image03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3DB25" id="Прямокутник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ExPKYCAwAAA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91D96E5" wp14:editId="5F32A8A7">
            <wp:extent cx="5000625" cy="3149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87" cy="31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C5EDF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 6 Упакування сипучих матеріалів та сухих сумішей</w:t>
      </w:r>
    </w:p>
    <w:p w14:paraId="58E0592B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1C99D64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A7C5D8" w14:textId="77777777" w:rsidR="0025669A" w:rsidRPr="00660F06" w:rsidRDefault="0025669A" w:rsidP="00256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F0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</w:t>
      </w:r>
      <w:r w:rsidRPr="00660F0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.7.  До пересилання приймаються </w:t>
      </w:r>
      <w:r w:rsidRPr="00660F06">
        <w:rPr>
          <w:rFonts w:ascii="Times New Roman" w:hAnsi="Times New Roman" w:cs="Times New Roman"/>
          <w:bCs/>
          <w:sz w:val="28"/>
          <w:szCs w:val="28"/>
        </w:rPr>
        <w:t>бджолині матки,</w:t>
      </w:r>
      <w:r w:rsidRPr="00660F06">
        <w:rPr>
          <w:rFonts w:ascii="Times New Roman" w:hAnsi="Times New Roman" w:cs="Times New Roman"/>
          <w:sz w:val="28"/>
          <w:szCs w:val="28"/>
        </w:rPr>
        <w:t xml:space="preserve"> які мають прийматися до пересилання внутрішніми поштовими відправленнями </w:t>
      </w:r>
      <w:r w:rsidRPr="00660F06">
        <w:rPr>
          <w:rFonts w:ascii="Times New Roman" w:hAnsi="Times New Roman" w:cs="Times New Roman"/>
          <w:bCs/>
          <w:sz w:val="28"/>
          <w:szCs w:val="28"/>
        </w:rPr>
        <w:t>"Укрпошта Експрес" з оголошеною цінністю 1 грн</w:t>
      </w:r>
      <w:r w:rsidRPr="00660F06">
        <w:rPr>
          <w:rFonts w:ascii="Times New Roman" w:hAnsi="Times New Roman" w:cs="Times New Roman"/>
          <w:sz w:val="28"/>
          <w:szCs w:val="28"/>
        </w:rPr>
        <w:t xml:space="preserve">. Для пересилання бджолиної матки має використовуватися </w:t>
      </w:r>
      <w:r w:rsidRPr="00660F06">
        <w:rPr>
          <w:rFonts w:ascii="Times New Roman" w:hAnsi="Times New Roman" w:cs="Times New Roman"/>
          <w:bCs/>
          <w:sz w:val="28"/>
          <w:szCs w:val="28"/>
        </w:rPr>
        <w:t>спеціальна упаковка розмірами 70 х 35 х 20 мм,</w:t>
      </w:r>
      <w:r w:rsidRPr="00660F06">
        <w:rPr>
          <w:rFonts w:ascii="Times New Roman" w:hAnsi="Times New Roman" w:cs="Times New Roman"/>
          <w:sz w:val="28"/>
          <w:szCs w:val="28"/>
        </w:rPr>
        <w:t xml:space="preserve"> яка повинна бути додатково вкладена в картонну тару відповідних розмірів, в залежності від кількості упаковок з бджолиними матками </w:t>
      </w:r>
      <w:r w:rsidRPr="00660F06">
        <w:rPr>
          <w:rFonts w:ascii="Times New Roman" w:hAnsi="Times New Roman" w:cs="Times New Roman"/>
          <w:bCs/>
          <w:sz w:val="28"/>
          <w:szCs w:val="28"/>
        </w:rPr>
        <w:t>з отворами для вентиляції</w:t>
      </w:r>
      <w:r w:rsidRPr="00660F06">
        <w:rPr>
          <w:rFonts w:ascii="Times New Roman" w:hAnsi="Times New Roman" w:cs="Times New Roman"/>
          <w:sz w:val="28"/>
          <w:szCs w:val="28"/>
        </w:rPr>
        <w:t xml:space="preserve">. Максимальний розмір додаткової упаковки становить </w:t>
      </w:r>
      <w:r w:rsidRPr="00660F06">
        <w:rPr>
          <w:rFonts w:ascii="Times New Roman" w:hAnsi="Times New Roman" w:cs="Times New Roman"/>
          <w:bCs/>
          <w:sz w:val="28"/>
          <w:szCs w:val="28"/>
        </w:rPr>
        <w:t>340х240х100 мм.</w:t>
      </w:r>
      <w:r w:rsidRPr="00660F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DB202" w14:textId="77777777" w:rsidR="0025669A" w:rsidRPr="00660F06" w:rsidRDefault="0025669A" w:rsidP="002566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82B598" w14:textId="77777777" w:rsidR="0025669A" w:rsidRPr="00660F06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60F06">
        <w:rPr>
          <w:rFonts w:ascii="Times New Roman" w:hAnsi="Times New Roman" w:cs="Times New Roman"/>
          <w:sz w:val="28"/>
          <w:szCs w:val="28"/>
        </w:rPr>
        <w:t xml:space="preserve">УВАГА! </w:t>
      </w:r>
      <w:r w:rsidRPr="00660F06">
        <w:rPr>
          <w:rFonts w:ascii="Times New Roman" w:hAnsi="Times New Roman" w:cs="Times New Roman"/>
          <w:bCs/>
          <w:sz w:val="28"/>
          <w:szCs w:val="28"/>
        </w:rPr>
        <w:t>Поштові відправлення з вкладенням бджіл НЕ приймаються до пересилання.</w:t>
      </w:r>
    </w:p>
    <w:p w14:paraId="2F7D4AE8" w14:textId="77777777" w:rsidR="0025669A" w:rsidRPr="00EA0494" w:rsidRDefault="0025669A" w:rsidP="0025669A">
      <w:pPr>
        <w:spacing w:before="120"/>
        <w:ind w:firstLine="397"/>
        <w:jc w:val="both"/>
        <w:rPr>
          <w:rFonts w:ascii="Century Gothic" w:hAnsi="Century Gothic"/>
          <w:b/>
          <w:bCs/>
          <w:sz w:val="28"/>
          <w:szCs w:val="28"/>
        </w:rPr>
      </w:pPr>
      <w:r w:rsidRPr="00EA0494">
        <w:rPr>
          <w:rFonts w:ascii="Century Gothic" w:hAnsi="Century Gothic"/>
          <w:b/>
          <w:bCs/>
          <w:sz w:val="28"/>
          <w:szCs w:val="28"/>
        </w:rPr>
        <w:t xml:space="preserve">   </w:t>
      </w:r>
      <w:r w:rsidRPr="00EA0494">
        <w:rPr>
          <w:rFonts w:ascii="Century Gothic" w:hAnsi="Century Gothic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357D0A3A" wp14:editId="18FE1AB4">
            <wp:extent cx="1805527" cy="2179320"/>
            <wp:effectExtent l="0" t="0" r="4445" b="0"/>
            <wp:docPr id="2" name="Рисунок 2" descr="Отправлю. Лучшего качества Carnik «Пешец и Тройзек» Материнка 2019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тправлю. Лучшего качества Carnik «Пешец и Тройзек» Материнка 2019г.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21" cy="22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494">
        <w:rPr>
          <w:rFonts w:ascii="Century Gothic" w:hAnsi="Century Gothic"/>
          <w:b/>
          <w:bCs/>
          <w:sz w:val="28"/>
          <w:szCs w:val="28"/>
        </w:rPr>
        <w:t>       </w:t>
      </w:r>
      <w:r w:rsidRPr="00EA0494">
        <w:rPr>
          <w:rFonts w:ascii="Century Gothic" w:hAnsi="Century Gothic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675337BE" wp14:editId="7E8E5161">
            <wp:extent cx="2636364" cy="2118360"/>
            <wp:effectExtent l="0" t="0" r="0" b="0"/>
            <wp:docPr id="1" name="Рисунок 1" descr="https://images.izi.ua/7187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izi.ua/71878244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64" cy="21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F7314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   Рис. 7 Упакування бджолиної матки</w:t>
      </w:r>
    </w:p>
    <w:p w14:paraId="09DECD71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 </w:t>
      </w:r>
    </w:p>
    <w:p w14:paraId="437C0F3D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12.8.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точні вимірювальні прилади упаковуються у тверду тару з захисним матеріалом, що запобігає пошкодженню вкладення під час пересилання. Прилади із скляними деталями упаковуються в ящики із спеціальним кріпленням (Рис. 8);</w:t>
      </w:r>
    </w:p>
    <w:p w14:paraId="096170EE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A35FECC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34D502E1" wp14:editId="6ADC4954">
            <wp:extent cx="2157711" cy="17164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404" t="12431" r="51453" b="75997"/>
                    <a:stretch/>
                  </pic:blipFill>
                  <pic:spPr bwMode="auto">
                    <a:xfrm rot="10800000" flipV="1">
                      <a:off x="0" y="0"/>
                      <a:ext cx="2492763" cy="19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</w: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FF60252" wp14:editId="3BC3BF5C">
            <wp:extent cx="1744980" cy="18211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0" t="5781" r="2301" b="41074"/>
                    <a:stretch/>
                  </pic:blipFill>
                  <pic:spPr bwMode="auto">
                    <a:xfrm>
                      <a:off x="0" y="0"/>
                      <a:ext cx="1748890" cy="18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CDBFD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 8 Упакування вимірювальних приладів</w:t>
      </w:r>
    </w:p>
    <w:p w14:paraId="45102066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 </w:t>
      </w:r>
    </w:p>
    <w:p w14:paraId="16B7B855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1274F1A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C125116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5BDC57B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C4DEFB4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4F19513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       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12.9.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придатні для транспортування свіжі овочі та фрукти уп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аковуються у дерев'яні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ящики або ящики виготовлені з тришарового гофрованого картону, бічні стінки яких мають вентиляційні отвори або вертикальні розрізи, а також плетені кошики з твердим стійким дном (крім конусоподібних), верхня частина яких повинна бути обшита міцною тканиною (Рис. 9)</w:t>
      </w: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uk-UA"/>
        </w:rPr>
        <w:t xml:space="preserve">. </w:t>
      </w:r>
      <w:r w:rsidRPr="005B6931">
        <w:rPr>
          <w:rFonts w:ascii="Times New Roman" w:eastAsia="Times New Roman" w:hAnsi="Times New Roman" w:cs="Times New Roman"/>
          <w:sz w:val="28"/>
          <w:szCs w:val="28"/>
          <w:lang w:eastAsia="uk-UA"/>
        </w:rPr>
        <w:t>Овочі та фрукти, які мають щільну структуру, дозволяється пересилати насипом у мішках;</w:t>
      </w:r>
    </w:p>
    <w:p w14:paraId="12F0B4B9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F90EF68" wp14:editId="563D5174">
            <wp:extent cx="5306060" cy="3183636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83" cy="319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​ </w:t>
      </w:r>
    </w:p>
    <w:p w14:paraId="3751E73D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 9 Упакування фруктів та овочів</w:t>
      </w:r>
    </w:p>
    <w:p w14:paraId="5C20D451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        </w:t>
      </w:r>
    </w:p>
    <w:p w14:paraId="727E1A5D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AC6540C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59350B6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F8C35CE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12.10.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хутро, шкурки гризунів без спеціальної обробки, а також вовна, щетина, волос, пір'я і пух </w:t>
      </w:r>
      <w:r w:rsidRPr="00EC7CF4">
        <w:rPr>
          <w:rFonts w:ascii="Times New Roman" w:eastAsia="Times New Roman" w:hAnsi="Times New Roman" w:cs="Times New Roman"/>
          <w:sz w:val="28"/>
          <w:szCs w:val="28"/>
          <w:lang w:eastAsia="uk-UA"/>
        </w:rPr>
        <w:t>упаковуються у тканину (мішковину) чи торбинку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поліетиленов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ої плівки або пакет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які вкладаються у ящики (Рис.10). </w:t>
      </w:r>
    </w:p>
    <w:p w14:paraId="10F8D197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Якщо на одну адресу відправляється кілька таких посилок, на кожну з них подається ветеринарне свідоцтво із зазначенням кількості хутра (шкірок гризунів або ваги вовни);</w:t>
      </w:r>
    </w:p>
    <w:p w14:paraId="348D58B6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6AC5D5" wp14:editId="60342510">
            <wp:extent cx="4913955" cy="2438316"/>
            <wp:effectExtent l="0" t="0" r="127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94" cy="245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10334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 10 Упакування хутра, шкурок гризунів</w:t>
      </w:r>
    </w:p>
    <w:p w14:paraId="2F34A780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20AA987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12.11.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саджанці дерев, кущі саджанців (малина, смородина, виноград тощо) упаковуються в один шар повітряно-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бульбашкової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плівки або гофрований картон, які вкладаються до 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гофрокартонного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ящика або упаковуються в два шари  стретч-плівки в залежності від розміру саджанця (Рис.11). </w:t>
      </w:r>
    </w:p>
    <w:p w14:paraId="3E165338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Розміри саджанців дерев  не повинні перевищувати масу та розміри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визначених у</w:t>
      </w:r>
      <w:r w:rsidRPr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335B4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внутрішніх нормативних документів,</w:t>
      </w:r>
      <w:r w:rsidRPr="00335B45" w:rsidDel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032CD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затверджених наказами АТ «Укрпошта»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</w:t>
      </w:r>
    </w:p>
    <w:p w14:paraId="79836781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Також можуть прийматися до пересилання саджанці, упаковані споживачем у спеціальні тубуси.</w:t>
      </w:r>
    </w:p>
    <w:p w14:paraId="4126A9BD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B7EC8DA" wp14:editId="59EC3E91">
            <wp:extent cx="4709160" cy="21945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29" cy="2229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A8477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 11 Упакування саджанців дерев, кущів саджанців</w:t>
      </w:r>
    </w:p>
    <w:p w14:paraId="5CC883AC" w14:textId="77777777" w:rsidR="0025669A" w:rsidRDefault="0025669A" w:rsidP="0025669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3705167" w14:textId="77777777" w:rsidR="0025669A" w:rsidRDefault="0025669A" w:rsidP="0025669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6EFA6D2" w14:textId="77777777" w:rsidR="0025669A" w:rsidRDefault="0025669A" w:rsidP="0025669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2DFAE4A" w14:textId="77777777" w:rsidR="0025669A" w:rsidRPr="00EA0494" w:rsidRDefault="0025669A" w:rsidP="0025669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 12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Предмети, які не складаються (креслярські дошки, санчата, автопокришки, автомобільні диски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тощо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), рекомендується упаковувати в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гофрокартонний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ящик або стретч-плівку. </w:t>
      </w:r>
    </w:p>
    <w:p w14:paraId="1A2E2B38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Валізи, бідони, предмети із суцільного шматка, як наприклад, шматки дерева, шматки металу тощо, за винятком гострих і різальних предметів, розміри і маса яких не перевищують розміру і масу,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визначених у</w:t>
      </w:r>
      <w:r w:rsidRPr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335B4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внутрішніх нормативних документів,</w:t>
      </w:r>
      <w:r w:rsidRPr="00335B45" w:rsidDel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032CD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затверджених наказами АТ «Укрпошта»</w:t>
      </w:r>
      <w:r w:rsidRPr="007322E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,</w:t>
      </w:r>
      <w:r w:rsidRPr="00EA049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можуть пересилатися </w:t>
      </w:r>
      <w:r w:rsidRPr="00C9506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внутрішніх відправленнях 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без упакування. В цьому випадку адреса одержувача повинна бути зазначена на самому предметі (Рис. 12).</w:t>
      </w:r>
    </w:p>
    <w:p w14:paraId="783CD11E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2925AE" wp14:editId="6097585B">
            <wp:extent cx="5303520" cy="194290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08" cy="198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F5A91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 12  Місце прикріплення адресної бирки до предметів, що приймаються без упакування.</w:t>
      </w:r>
    </w:p>
    <w:p w14:paraId="43B25174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2AEBB4BF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13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. Для транспортування відправлень великих габаритів та ваги використовується дерев'яний піддон (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палетування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відправлень), який забезпечує цілісність відправлення та інших вкладень  (Рис.13). </w:t>
      </w:r>
    </w:p>
    <w:p w14:paraId="2F81C28D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Палетування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палети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передбачає формування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палети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АТ «Укрпошта». Формування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палети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це надання піддона АТ «Укрпошта», укладання на нього відправлень, згрупування їх у єдине ціле та закріплення на піддоні за допомогою стретч-плівки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201179C9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Відправлення, кількість яких визначена АТ «Укрпошта», (згруповані відправлення)  на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палеті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повинні бути сформовані відправником вертикально рівно без випнутих частин. Усі місця на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палеті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повинні бути  у якісній упаковці (без розривів,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вм</w:t>
      </w:r>
      <w:proofErr w:type="spellEnd"/>
      <w:r w:rsidRPr="00C9506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ятин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деформацій).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Палета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упаковується  не менше ніж трьома шарами стретч - плівки. </w:t>
      </w:r>
    </w:p>
    <w:p w14:paraId="5979D056" w14:textId="77777777" w:rsidR="0025669A" w:rsidRPr="007322E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322E4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     </w:t>
      </w:r>
      <w:proofErr w:type="spellStart"/>
      <w:r w:rsidRPr="007322E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Палети</w:t>
      </w:r>
      <w:proofErr w:type="spellEnd"/>
      <w:r w:rsidRPr="007322E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повинні мати розміри та масу, що відповідають вимогам, визначених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у</w:t>
      </w:r>
      <w:r w:rsidRPr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335B45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внутрішніх нормативних документів,</w:t>
      </w:r>
      <w:r w:rsidRPr="00335B45" w:rsidDel="00896918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032CD4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затверджених наказами АТ «Укрпошта»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.</w:t>
      </w:r>
    </w:p>
    <w:p w14:paraId="313A558D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       Категорично забороняється при формуванні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палети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, відправлення великих габаритів та ваги класти на відправлення менших габаритів та ваги.</w:t>
      </w:r>
    </w:p>
    <w:p w14:paraId="25F0C1B0" w14:textId="77777777" w:rsidR="0025669A" w:rsidRPr="00EA0494" w:rsidRDefault="0025669A" w:rsidP="0025669A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925743A" wp14:editId="681DB0FF">
            <wp:extent cx="3181350" cy="1999961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93" cy="21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35102" w14:textId="77777777" w:rsidR="0025669A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Рис.13 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Палетування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відправлень</w:t>
      </w:r>
    </w:p>
    <w:p w14:paraId="51878BEC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80FC08A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14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. Для транспортування відправлень великих габаритів та ваги  відправником використовується дерев'яне обрешетування (каркас з деревини), у який поміщається відправлення великих габаритів, що має виступаючі частини або геометричні параметри, які сприяють його пошкодженню або пошкодженню інших відправлень. Відправлення повинне бути зафіксованим в середині розпірками-фіксаторами, не повинне переміщатися, вкладення упаковані повітряно-</w:t>
      </w:r>
      <w:proofErr w:type="spellStart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бульбашкову</w:t>
      </w:r>
      <w:proofErr w:type="spellEnd"/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плівку, засипані пінопластовим наповнювачем, усередині не повинно бути порожніх місць. </w:t>
      </w:r>
      <w:r w:rsidRPr="003F1C2D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Заборонено для упаковки використовувати суцільну деревину</w:t>
      </w:r>
      <w:r w:rsidRPr="00EA049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(Рис.14).</w:t>
      </w:r>
    </w:p>
    <w:p w14:paraId="6F5A45DF" w14:textId="77777777" w:rsidR="0025669A" w:rsidRPr="00EA0494" w:rsidRDefault="0025669A" w:rsidP="0025669A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</w:t>
      </w:r>
      <w:r w:rsidRPr="00EA049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20AB6A72" wp14:editId="681BF9CB">
            <wp:extent cx="4515485" cy="17240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1833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770BF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Рис. 14 Обрешетування відправлень</w:t>
      </w:r>
    </w:p>
    <w:p w14:paraId="6AED4F96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D13259B" w14:textId="77777777" w:rsidR="0025669A" w:rsidRPr="00EA0494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15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. Неподільні предмети у фабрично-заводській упаковці (дерев'яних, диктових ящиках та коробках з міцного картону), яка відповідає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встановленим, 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розмірам та масі і забезпечує збереження вкладення та не може завдати шкоди іншим відправленням, приймаються без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додаткового упакування (Рис. 15).</w:t>
      </w:r>
    </w:p>
    <w:p w14:paraId="52966561" w14:textId="77777777" w:rsidR="0025669A" w:rsidRPr="00EA0494" w:rsidRDefault="0025669A" w:rsidP="0025669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  <w:r w:rsidRPr="00EA049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E09B627" wp14:editId="459DBBED">
            <wp:extent cx="4120308" cy="236561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79" cy="245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C0B4F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Рис.15 Неподільні предмети у фабрично-заводській упаковці</w:t>
      </w:r>
    </w:p>
    <w:p w14:paraId="3F0AC412" w14:textId="77777777" w:rsidR="0025669A" w:rsidRPr="00EA0494" w:rsidRDefault="0025669A" w:rsidP="002566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EA0494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14:paraId="1B10AF72" w14:textId="77777777" w:rsidR="0025669A" w:rsidRDefault="0025669A" w:rsidP="0025669A">
      <w:pPr>
        <w:pStyle w:val="a3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73747">
        <w:rPr>
          <w:rFonts w:ascii="Times New Roman" w:eastAsia="Times New Roman" w:hAnsi="Times New Roman" w:cs="Times New Roman"/>
          <w:sz w:val="28"/>
          <w:szCs w:val="28"/>
          <w:lang w:eastAsia="uk-UA"/>
        </w:rPr>
        <w:t>​На упаковці або конверті міжнародного відправлення має залишатися достатньо місця для написання службових позначок або накладання штемпелів та ярликів.</w:t>
      </w:r>
    </w:p>
    <w:p w14:paraId="6A277823" w14:textId="77777777" w:rsidR="0025669A" w:rsidRPr="00773747" w:rsidRDefault="0025669A" w:rsidP="0025669A">
      <w:pPr>
        <w:pStyle w:val="a3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73747">
        <w:rPr>
          <w:rFonts w:ascii="Times New Roman" w:hAnsi="Times New Roman" w:cs="Times New Roman"/>
          <w:sz w:val="28"/>
          <w:szCs w:val="28"/>
        </w:rPr>
        <w:t xml:space="preserve">Забороняється приймання до пересилання поштових відправлень, що фактично складаються з двох місць , прикріплені один до одного </w:t>
      </w:r>
      <w:proofErr w:type="spellStart"/>
      <w:r w:rsidRPr="00773747">
        <w:rPr>
          <w:rFonts w:ascii="Times New Roman" w:hAnsi="Times New Roman" w:cs="Times New Roman"/>
          <w:sz w:val="28"/>
          <w:szCs w:val="28"/>
        </w:rPr>
        <w:t>скотчем</w:t>
      </w:r>
      <w:proofErr w:type="spellEnd"/>
      <w:r w:rsidRPr="00773747">
        <w:rPr>
          <w:rFonts w:ascii="Times New Roman" w:hAnsi="Times New Roman" w:cs="Times New Roman"/>
          <w:sz w:val="28"/>
          <w:szCs w:val="28"/>
        </w:rPr>
        <w:t xml:space="preserve"> та оформлені як одне поштове відправлення з одним бланком супровідної адреси.</w:t>
      </w:r>
    </w:p>
    <w:p w14:paraId="0738BABF" w14:textId="77777777" w:rsidR="0025669A" w:rsidRPr="003F1C2D" w:rsidRDefault="0025669A" w:rsidP="0025669A">
      <w:pPr>
        <w:pStyle w:val="a3"/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3F1C2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Забороняється приймання для пересилання поштових відправлень, упакованих у надто тонке, пошкоджене (із розривами (щілинами), вологими або жирними плямами) пакування, чи таке, що не є достатнім для убезпечення вкладення від псування в процесі пересилання.</w:t>
      </w:r>
    </w:p>
    <w:p w14:paraId="2660F7AC" w14:textId="77777777" w:rsidR="0025669A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10A437E" w14:textId="77777777" w:rsidR="0025669A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1CC39F3" w14:textId="77777777" w:rsidR="0025669A" w:rsidRDefault="0025669A" w:rsidP="00256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bookmarkStart w:id="3" w:name="_GoBack"/>
      <w:bookmarkEnd w:id="0"/>
      <w:bookmarkEnd w:id="3"/>
    </w:p>
    <w:sectPr w:rsidR="0025669A" w:rsidSect="00470295">
      <w:headerReference w:type="default" r:id="rId32"/>
      <w:headerReference w:type="first" r:id="rId33"/>
      <w:footerReference w:type="first" r:id="rId34"/>
      <w:pgSz w:w="11906" w:h="16838"/>
      <w:pgMar w:top="0" w:right="567" w:bottom="1134" w:left="1701" w:header="142" w:footer="184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0C322" w14:textId="77777777" w:rsidR="00F661AB" w:rsidRDefault="00F661AB" w:rsidP="0065137E">
      <w:pPr>
        <w:spacing w:after="0" w:line="240" w:lineRule="auto"/>
      </w:pPr>
      <w:r>
        <w:separator/>
      </w:r>
    </w:p>
  </w:endnote>
  <w:endnote w:type="continuationSeparator" w:id="0">
    <w:p w14:paraId="5FC01078" w14:textId="77777777" w:rsidR="00F661AB" w:rsidRDefault="00F661AB" w:rsidP="0065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FBDF8" w14:textId="2F662A7C" w:rsidR="007F57B8" w:rsidRDefault="007F57B8">
    <w:pPr>
      <w:pStyle w:val="af"/>
    </w:pPr>
  </w:p>
  <w:p w14:paraId="54318C33" w14:textId="77777777" w:rsidR="007F57B8" w:rsidRDefault="007F57B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99BE0" w14:textId="77777777" w:rsidR="00F661AB" w:rsidRDefault="00F661AB" w:rsidP="0065137E">
      <w:pPr>
        <w:spacing w:after="0" w:line="240" w:lineRule="auto"/>
      </w:pPr>
      <w:r>
        <w:separator/>
      </w:r>
    </w:p>
  </w:footnote>
  <w:footnote w:type="continuationSeparator" w:id="0">
    <w:p w14:paraId="182D56F0" w14:textId="77777777" w:rsidR="00F661AB" w:rsidRDefault="00F661AB" w:rsidP="00651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B3AC2" w14:textId="3EC5535F" w:rsidR="008D04F1" w:rsidRDefault="008D04F1">
    <w:pPr>
      <w:pStyle w:val="ad"/>
      <w:jc w:val="center"/>
    </w:pPr>
  </w:p>
  <w:p w14:paraId="7958B87F" w14:textId="77777777" w:rsidR="008D04F1" w:rsidRDefault="008D04F1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B4BDC" w14:textId="4649F26A" w:rsidR="008A2C0E" w:rsidRDefault="008A2C0E">
    <w:pPr>
      <w:pStyle w:val="ad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1DE5AEE4" wp14:editId="66C86F1A">
          <wp:simplePos x="0" y="0"/>
          <wp:positionH relativeFrom="column">
            <wp:posOffset>-1066800</wp:posOffset>
          </wp:positionH>
          <wp:positionV relativeFrom="paragraph">
            <wp:posOffset>-95250</wp:posOffset>
          </wp:positionV>
          <wp:extent cx="7553325" cy="2091055"/>
          <wp:effectExtent l="0" t="0" r="9525" b="4445"/>
          <wp:wrapSquare wrapText="bothSides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09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A6F38"/>
    <w:multiLevelType w:val="multilevel"/>
    <w:tmpl w:val="C4AEE88A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6912AAC"/>
    <w:multiLevelType w:val="multilevel"/>
    <w:tmpl w:val="77BE2CF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50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8586A"/>
    <w:multiLevelType w:val="hybridMultilevel"/>
    <w:tmpl w:val="30B284C2"/>
    <w:lvl w:ilvl="0" w:tplc="F0663680">
      <w:numFmt w:val="bullet"/>
      <w:lvlText w:val="-"/>
      <w:lvlJc w:val="left"/>
      <w:pPr>
        <w:ind w:left="138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3" w15:restartNumberingAfterBreak="0">
    <w:nsid w:val="105B3541"/>
    <w:multiLevelType w:val="multilevel"/>
    <w:tmpl w:val="F0E29B7A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5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2F56645"/>
    <w:multiLevelType w:val="multilevel"/>
    <w:tmpl w:val="71C4DCC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" w15:restartNumberingAfterBreak="0">
    <w:nsid w:val="199F3091"/>
    <w:multiLevelType w:val="hybridMultilevel"/>
    <w:tmpl w:val="CECC1C06"/>
    <w:lvl w:ilvl="0" w:tplc="C660FBB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A113690"/>
    <w:multiLevelType w:val="multilevel"/>
    <w:tmpl w:val="E62011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32B502A4"/>
    <w:multiLevelType w:val="multilevel"/>
    <w:tmpl w:val="0630D09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3D651AFD"/>
    <w:multiLevelType w:val="hybridMultilevel"/>
    <w:tmpl w:val="425047F0"/>
    <w:lvl w:ilvl="0" w:tplc="04C2C67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0D620B5"/>
    <w:multiLevelType w:val="hybridMultilevel"/>
    <w:tmpl w:val="FCD0468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2532FFB"/>
    <w:multiLevelType w:val="multilevel"/>
    <w:tmpl w:val="B7BAD306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4BA36EC2"/>
    <w:multiLevelType w:val="hybridMultilevel"/>
    <w:tmpl w:val="667C1D14"/>
    <w:lvl w:ilvl="0" w:tplc="0422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 w15:restartNumberingAfterBreak="0">
    <w:nsid w:val="4CD01855"/>
    <w:multiLevelType w:val="multilevel"/>
    <w:tmpl w:val="347613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4E1E1E60"/>
    <w:multiLevelType w:val="multilevel"/>
    <w:tmpl w:val="134CA886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FC32C95"/>
    <w:multiLevelType w:val="multilevel"/>
    <w:tmpl w:val="4418CB3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4366CF1"/>
    <w:multiLevelType w:val="multilevel"/>
    <w:tmpl w:val="310051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 w15:restartNumberingAfterBreak="0">
    <w:nsid w:val="544C2366"/>
    <w:multiLevelType w:val="multilevel"/>
    <w:tmpl w:val="756AF162"/>
    <w:lvl w:ilvl="0">
      <w:start w:val="1"/>
      <w:numFmt w:val="decimal"/>
      <w:lvlText w:val="%1."/>
      <w:lvlJc w:val="left"/>
      <w:pPr>
        <w:ind w:left="1759" w:hanging="105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57E112DD"/>
    <w:multiLevelType w:val="multilevel"/>
    <w:tmpl w:val="50D43E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6FE56463"/>
    <w:multiLevelType w:val="hybridMultilevel"/>
    <w:tmpl w:val="11346076"/>
    <w:lvl w:ilvl="0" w:tplc="9AF8C6F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75092B57"/>
    <w:multiLevelType w:val="multilevel"/>
    <w:tmpl w:val="5152079E"/>
    <w:lvl w:ilvl="0">
      <w:start w:val="1"/>
      <w:numFmt w:val="decimal"/>
      <w:lvlText w:val="%1."/>
      <w:lvlJc w:val="left"/>
      <w:pPr>
        <w:ind w:left="1759" w:hanging="105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2044" w:hanging="133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78355854"/>
    <w:multiLevelType w:val="hybridMultilevel"/>
    <w:tmpl w:val="785E1B6C"/>
    <w:lvl w:ilvl="0" w:tplc="86FABAAC">
      <w:start w:val="16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A1B3C36"/>
    <w:multiLevelType w:val="multilevel"/>
    <w:tmpl w:val="756AF162"/>
    <w:lvl w:ilvl="0">
      <w:start w:val="1"/>
      <w:numFmt w:val="decimal"/>
      <w:lvlText w:val="%1."/>
      <w:lvlJc w:val="left"/>
      <w:pPr>
        <w:ind w:left="1759" w:hanging="105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7D882A8F"/>
    <w:multiLevelType w:val="multilevel"/>
    <w:tmpl w:val="DA7ECD7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7"/>
  </w:num>
  <w:num w:numId="2">
    <w:abstractNumId w:val="7"/>
  </w:num>
  <w:num w:numId="3">
    <w:abstractNumId w:val="8"/>
  </w:num>
  <w:num w:numId="4">
    <w:abstractNumId w:val="18"/>
  </w:num>
  <w:num w:numId="5">
    <w:abstractNumId w:val="4"/>
  </w:num>
  <w:num w:numId="6">
    <w:abstractNumId w:val="15"/>
  </w:num>
  <w:num w:numId="7">
    <w:abstractNumId w:val="0"/>
  </w:num>
  <w:num w:numId="8">
    <w:abstractNumId w:val="10"/>
  </w:num>
  <w:num w:numId="9">
    <w:abstractNumId w:val="12"/>
  </w:num>
  <w:num w:numId="10">
    <w:abstractNumId w:val="13"/>
  </w:num>
  <w:num w:numId="11">
    <w:abstractNumId w:val="3"/>
  </w:num>
  <w:num w:numId="12">
    <w:abstractNumId w:val="6"/>
  </w:num>
  <w:num w:numId="13">
    <w:abstractNumId w:val="9"/>
  </w:num>
  <w:num w:numId="14">
    <w:abstractNumId w:val="19"/>
  </w:num>
  <w:num w:numId="15">
    <w:abstractNumId w:val="16"/>
  </w:num>
  <w:num w:numId="16">
    <w:abstractNumId w:val="21"/>
  </w:num>
  <w:num w:numId="17">
    <w:abstractNumId w:val="2"/>
  </w:num>
  <w:num w:numId="18">
    <w:abstractNumId w:val="22"/>
  </w:num>
  <w:num w:numId="19">
    <w:abstractNumId w:val="1"/>
  </w:num>
  <w:num w:numId="20">
    <w:abstractNumId w:val="5"/>
  </w:num>
  <w:num w:numId="21">
    <w:abstractNumId w:val="11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72"/>
    <w:rsid w:val="00000AC3"/>
    <w:rsid w:val="00014B11"/>
    <w:rsid w:val="00015D78"/>
    <w:rsid w:val="00020118"/>
    <w:rsid w:val="00025F55"/>
    <w:rsid w:val="0002699D"/>
    <w:rsid w:val="00042AFF"/>
    <w:rsid w:val="00047A41"/>
    <w:rsid w:val="00050BC3"/>
    <w:rsid w:val="0005101A"/>
    <w:rsid w:val="0005740B"/>
    <w:rsid w:val="00080C89"/>
    <w:rsid w:val="000918EF"/>
    <w:rsid w:val="00091F50"/>
    <w:rsid w:val="000926AF"/>
    <w:rsid w:val="000A0016"/>
    <w:rsid w:val="000A1007"/>
    <w:rsid w:val="000B1E88"/>
    <w:rsid w:val="000B2E7D"/>
    <w:rsid w:val="000B6E1E"/>
    <w:rsid w:val="000C23BF"/>
    <w:rsid w:val="000F32E4"/>
    <w:rsid w:val="000F7331"/>
    <w:rsid w:val="00101CAF"/>
    <w:rsid w:val="00102B1D"/>
    <w:rsid w:val="001068BF"/>
    <w:rsid w:val="00106954"/>
    <w:rsid w:val="00107C51"/>
    <w:rsid w:val="00116236"/>
    <w:rsid w:val="00120622"/>
    <w:rsid w:val="00121938"/>
    <w:rsid w:val="00121B89"/>
    <w:rsid w:val="001300E6"/>
    <w:rsid w:val="0013088D"/>
    <w:rsid w:val="00130F73"/>
    <w:rsid w:val="00146A0D"/>
    <w:rsid w:val="00152CC4"/>
    <w:rsid w:val="00160072"/>
    <w:rsid w:val="00160AA2"/>
    <w:rsid w:val="00163625"/>
    <w:rsid w:val="00163763"/>
    <w:rsid w:val="00172EA3"/>
    <w:rsid w:val="00174B41"/>
    <w:rsid w:val="0019086A"/>
    <w:rsid w:val="00191E7C"/>
    <w:rsid w:val="0019453C"/>
    <w:rsid w:val="001A048F"/>
    <w:rsid w:val="001A05D0"/>
    <w:rsid w:val="001B4520"/>
    <w:rsid w:val="001B6CF0"/>
    <w:rsid w:val="001C21A7"/>
    <w:rsid w:val="001C3F8B"/>
    <w:rsid w:val="001C4D73"/>
    <w:rsid w:val="001D0597"/>
    <w:rsid w:val="001D570F"/>
    <w:rsid w:val="001D5AD9"/>
    <w:rsid w:val="001D7442"/>
    <w:rsid w:val="001F4278"/>
    <w:rsid w:val="001F484B"/>
    <w:rsid w:val="00205B32"/>
    <w:rsid w:val="002112C6"/>
    <w:rsid w:val="00215B81"/>
    <w:rsid w:val="00225A8C"/>
    <w:rsid w:val="0023409C"/>
    <w:rsid w:val="00245A95"/>
    <w:rsid w:val="0025487B"/>
    <w:rsid w:val="0025669A"/>
    <w:rsid w:val="00262B09"/>
    <w:rsid w:val="00266A7D"/>
    <w:rsid w:val="00267FD2"/>
    <w:rsid w:val="0028589B"/>
    <w:rsid w:val="002A3CF0"/>
    <w:rsid w:val="002A6B1C"/>
    <w:rsid w:val="002B7A43"/>
    <w:rsid w:val="002C623F"/>
    <w:rsid w:val="002D42F8"/>
    <w:rsid w:val="002D70FA"/>
    <w:rsid w:val="002E024E"/>
    <w:rsid w:val="002F63E0"/>
    <w:rsid w:val="002F7ACA"/>
    <w:rsid w:val="00303F2B"/>
    <w:rsid w:val="00305AF1"/>
    <w:rsid w:val="0031052D"/>
    <w:rsid w:val="00311529"/>
    <w:rsid w:val="003204BA"/>
    <w:rsid w:val="00336D76"/>
    <w:rsid w:val="00343739"/>
    <w:rsid w:val="00345ACC"/>
    <w:rsid w:val="003469FF"/>
    <w:rsid w:val="00354B6D"/>
    <w:rsid w:val="00356D49"/>
    <w:rsid w:val="00363DB3"/>
    <w:rsid w:val="00365BEE"/>
    <w:rsid w:val="00365F4C"/>
    <w:rsid w:val="00374211"/>
    <w:rsid w:val="00376CF9"/>
    <w:rsid w:val="00377D13"/>
    <w:rsid w:val="00384EB8"/>
    <w:rsid w:val="003857AA"/>
    <w:rsid w:val="00387208"/>
    <w:rsid w:val="003A5705"/>
    <w:rsid w:val="003A62C7"/>
    <w:rsid w:val="003B2B60"/>
    <w:rsid w:val="003C05A9"/>
    <w:rsid w:val="003F0F42"/>
    <w:rsid w:val="0041427E"/>
    <w:rsid w:val="00414EDE"/>
    <w:rsid w:val="00423951"/>
    <w:rsid w:val="00424A83"/>
    <w:rsid w:val="00443250"/>
    <w:rsid w:val="00443AEC"/>
    <w:rsid w:val="00455A25"/>
    <w:rsid w:val="00462F8E"/>
    <w:rsid w:val="00464CE9"/>
    <w:rsid w:val="00470295"/>
    <w:rsid w:val="00487BDD"/>
    <w:rsid w:val="00496944"/>
    <w:rsid w:val="00497556"/>
    <w:rsid w:val="004A1FAB"/>
    <w:rsid w:val="004A320D"/>
    <w:rsid w:val="004B6A4B"/>
    <w:rsid w:val="004C1E5E"/>
    <w:rsid w:val="004C22B5"/>
    <w:rsid w:val="004C3B50"/>
    <w:rsid w:val="004C5A3F"/>
    <w:rsid w:val="004D312B"/>
    <w:rsid w:val="004D3618"/>
    <w:rsid w:val="004D3D94"/>
    <w:rsid w:val="004E11B6"/>
    <w:rsid w:val="004E262F"/>
    <w:rsid w:val="004E2F1F"/>
    <w:rsid w:val="004E2FCC"/>
    <w:rsid w:val="004F7EC0"/>
    <w:rsid w:val="005025FB"/>
    <w:rsid w:val="00502D6E"/>
    <w:rsid w:val="00516007"/>
    <w:rsid w:val="005278BB"/>
    <w:rsid w:val="00533BE9"/>
    <w:rsid w:val="00554FC9"/>
    <w:rsid w:val="00562E6F"/>
    <w:rsid w:val="005635ED"/>
    <w:rsid w:val="005673B1"/>
    <w:rsid w:val="00591CD0"/>
    <w:rsid w:val="005B5DF1"/>
    <w:rsid w:val="005C43B0"/>
    <w:rsid w:val="005C6804"/>
    <w:rsid w:val="005E79E5"/>
    <w:rsid w:val="00610A36"/>
    <w:rsid w:val="00626D3B"/>
    <w:rsid w:val="00646ED6"/>
    <w:rsid w:val="00647217"/>
    <w:rsid w:val="0065137E"/>
    <w:rsid w:val="00652179"/>
    <w:rsid w:val="0065285B"/>
    <w:rsid w:val="00672304"/>
    <w:rsid w:val="00683CA5"/>
    <w:rsid w:val="00694D59"/>
    <w:rsid w:val="006976FD"/>
    <w:rsid w:val="006A0B12"/>
    <w:rsid w:val="006A13A4"/>
    <w:rsid w:val="006A2E9D"/>
    <w:rsid w:val="006A47B5"/>
    <w:rsid w:val="006A4BA1"/>
    <w:rsid w:val="006A5780"/>
    <w:rsid w:val="006B5819"/>
    <w:rsid w:val="006D0567"/>
    <w:rsid w:val="006D2CB9"/>
    <w:rsid w:val="006D73AC"/>
    <w:rsid w:val="006E1D2C"/>
    <w:rsid w:val="006E2A62"/>
    <w:rsid w:val="006F1935"/>
    <w:rsid w:val="006F21C9"/>
    <w:rsid w:val="00720E68"/>
    <w:rsid w:val="00745A96"/>
    <w:rsid w:val="00746543"/>
    <w:rsid w:val="00751C02"/>
    <w:rsid w:val="00755175"/>
    <w:rsid w:val="007812F3"/>
    <w:rsid w:val="00796904"/>
    <w:rsid w:val="007A0352"/>
    <w:rsid w:val="007A23D2"/>
    <w:rsid w:val="007A319D"/>
    <w:rsid w:val="007A760C"/>
    <w:rsid w:val="007A76EC"/>
    <w:rsid w:val="007B206A"/>
    <w:rsid w:val="007B4AFA"/>
    <w:rsid w:val="007C0F6F"/>
    <w:rsid w:val="007D2032"/>
    <w:rsid w:val="007D3ACE"/>
    <w:rsid w:val="007E2992"/>
    <w:rsid w:val="007F487E"/>
    <w:rsid w:val="007F57B8"/>
    <w:rsid w:val="00800106"/>
    <w:rsid w:val="00803724"/>
    <w:rsid w:val="00803A41"/>
    <w:rsid w:val="008041E3"/>
    <w:rsid w:val="00812396"/>
    <w:rsid w:val="00821CC7"/>
    <w:rsid w:val="00860D40"/>
    <w:rsid w:val="008610F3"/>
    <w:rsid w:val="0086155A"/>
    <w:rsid w:val="00862B06"/>
    <w:rsid w:val="00864EFB"/>
    <w:rsid w:val="00877281"/>
    <w:rsid w:val="008A2C0E"/>
    <w:rsid w:val="008B2623"/>
    <w:rsid w:val="008B32FC"/>
    <w:rsid w:val="008D04F1"/>
    <w:rsid w:val="008E0202"/>
    <w:rsid w:val="008E608E"/>
    <w:rsid w:val="00900F75"/>
    <w:rsid w:val="00920B67"/>
    <w:rsid w:val="00920E4A"/>
    <w:rsid w:val="009264AC"/>
    <w:rsid w:val="00941484"/>
    <w:rsid w:val="00951D4E"/>
    <w:rsid w:val="00964CFD"/>
    <w:rsid w:val="00970948"/>
    <w:rsid w:val="0097685E"/>
    <w:rsid w:val="00994683"/>
    <w:rsid w:val="009A71C9"/>
    <w:rsid w:val="009B0A97"/>
    <w:rsid w:val="009B4BCD"/>
    <w:rsid w:val="009B74FB"/>
    <w:rsid w:val="009D02B5"/>
    <w:rsid w:val="009D4A09"/>
    <w:rsid w:val="009D7292"/>
    <w:rsid w:val="009E0775"/>
    <w:rsid w:val="009E13F4"/>
    <w:rsid w:val="009F0D99"/>
    <w:rsid w:val="00A05B39"/>
    <w:rsid w:val="00A24957"/>
    <w:rsid w:val="00A2671D"/>
    <w:rsid w:val="00A302A7"/>
    <w:rsid w:val="00A357BC"/>
    <w:rsid w:val="00A36B71"/>
    <w:rsid w:val="00A4180F"/>
    <w:rsid w:val="00A473A5"/>
    <w:rsid w:val="00A62216"/>
    <w:rsid w:val="00A65124"/>
    <w:rsid w:val="00A652F0"/>
    <w:rsid w:val="00A7294C"/>
    <w:rsid w:val="00A776FF"/>
    <w:rsid w:val="00A845C9"/>
    <w:rsid w:val="00A8579E"/>
    <w:rsid w:val="00AA2DA1"/>
    <w:rsid w:val="00AA627A"/>
    <w:rsid w:val="00AC4796"/>
    <w:rsid w:val="00AD1C07"/>
    <w:rsid w:val="00AD6D5B"/>
    <w:rsid w:val="00AD7960"/>
    <w:rsid w:val="00AE03D4"/>
    <w:rsid w:val="00AE4AF1"/>
    <w:rsid w:val="00AE7590"/>
    <w:rsid w:val="00B01DD8"/>
    <w:rsid w:val="00B15CEA"/>
    <w:rsid w:val="00B15EC5"/>
    <w:rsid w:val="00B30BFC"/>
    <w:rsid w:val="00B32BB6"/>
    <w:rsid w:val="00B60B19"/>
    <w:rsid w:val="00B73057"/>
    <w:rsid w:val="00B73981"/>
    <w:rsid w:val="00B77306"/>
    <w:rsid w:val="00B82796"/>
    <w:rsid w:val="00B8533D"/>
    <w:rsid w:val="00B930D8"/>
    <w:rsid w:val="00B94A81"/>
    <w:rsid w:val="00BB1FC4"/>
    <w:rsid w:val="00BC09B4"/>
    <w:rsid w:val="00BC6370"/>
    <w:rsid w:val="00BD0B6D"/>
    <w:rsid w:val="00BD6A50"/>
    <w:rsid w:val="00BD7665"/>
    <w:rsid w:val="00BD7790"/>
    <w:rsid w:val="00BE1458"/>
    <w:rsid w:val="00BE5221"/>
    <w:rsid w:val="00BF07E7"/>
    <w:rsid w:val="00BF3199"/>
    <w:rsid w:val="00BF64A1"/>
    <w:rsid w:val="00C06190"/>
    <w:rsid w:val="00C06BBE"/>
    <w:rsid w:val="00C12E84"/>
    <w:rsid w:val="00C17A19"/>
    <w:rsid w:val="00C231D3"/>
    <w:rsid w:val="00C27528"/>
    <w:rsid w:val="00C34A9A"/>
    <w:rsid w:val="00C35531"/>
    <w:rsid w:val="00C36677"/>
    <w:rsid w:val="00C459CC"/>
    <w:rsid w:val="00C54238"/>
    <w:rsid w:val="00C572A0"/>
    <w:rsid w:val="00C70F99"/>
    <w:rsid w:val="00C83490"/>
    <w:rsid w:val="00C87BEB"/>
    <w:rsid w:val="00C93230"/>
    <w:rsid w:val="00CA22E8"/>
    <w:rsid w:val="00CB2E7B"/>
    <w:rsid w:val="00CC0C11"/>
    <w:rsid w:val="00CC403B"/>
    <w:rsid w:val="00CE73AB"/>
    <w:rsid w:val="00CF33CF"/>
    <w:rsid w:val="00CF4ED9"/>
    <w:rsid w:val="00CF7CE2"/>
    <w:rsid w:val="00D031C1"/>
    <w:rsid w:val="00D03A10"/>
    <w:rsid w:val="00D15412"/>
    <w:rsid w:val="00D3428B"/>
    <w:rsid w:val="00D55B88"/>
    <w:rsid w:val="00D5668C"/>
    <w:rsid w:val="00D72934"/>
    <w:rsid w:val="00D7387B"/>
    <w:rsid w:val="00DA1EA5"/>
    <w:rsid w:val="00DB3C78"/>
    <w:rsid w:val="00DC0FB8"/>
    <w:rsid w:val="00DD10A7"/>
    <w:rsid w:val="00DD3D82"/>
    <w:rsid w:val="00DD5E03"/>
    <w:rsid w:val="00DE06C1"/>
    <w:rsid w:val="00DE7B69"/>
    <w:rsid w:val="00DF545D"/>
    <w:rsid w:val="00DF7F0D"/>
    <w:rsid w:val="00E02DD1"/>
    <w:rsid w:val="00E11D72"/>
    <w:rsid w:val="00E13BD2"/>
    <w:rsid w:val="00E161E9"/>
    <w:rsid w:val="00E21FA9"/>
    <w:rsid w:val="00E24A7D"/>
    <w:rsid w:val="00E366C9"/>
    <w:rsid w:val="00E40101"/>
    <w:rsid w:val="00E46909"/>
    <w:rsid w:val="00E660DA"/>
    <w:rsid w:val="00E72D9D"/>
    <w:rsid w:val="00E7520C"/>
    <w:rsid w:val="00E8411A"/>
    <w:rsid w:val="00E87B71"/>
    <w:rsid w:val="00E961DC"/>
    <w:rsid w:val="00EB0BDD"/>
    <w:rsid w:val="00EB7279"/>
    <w:rsid w:val="00EC2DC5"/>
    <w:rsid w:val="00ED0DB5"/>
    <w:rsid w:val="00EE405A"/>
    <w:rsid w:val="00EF0765"/>
    <w:rsid w:val="00EF0787"/>
    <w:rsid w:val="00EF4CAF"/>
    <w:rsid w:val="00F01715"/>
    <w:rsid w:val="00F1265D"/>
    <w:rsid w:val="00F13D8B"/>
    <w:rsid w:val="00F16B6D"/>
    <w:rsid w:val="00F213FF"/>
    <w:rsid w:val="00F43CD3"/>
    <w:rsid w:val="00F5466E"/>
    <w:rsid w:val="00F6438C"/>
    <w:rsid w:val="00F661AB"/>
    <w:rsid w:val="00F6791C"/>
    <w:rsid w:val="00F76922"/>
    <w:rsid w:val="00F76B61"/>
    <w:rsid w:val="00F81FE9"/>
    <w:rsid w:val="00FB4DF0"/>
    <w:rsid w:val="00FD1AD4"/>
    <w:rsid w:val="00FD2B73"/>
    <w:rsid w:val="00FE2205"/>
    <w:rsid w:val="00FE4C29"/>
    <w:rsid w:val="00FF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516C2"/>
  <w15:docId w15:val="{78E47A67-F7FE-4E76-B553-544AFAF7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F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278"/>
    <w:rPr>
      <w:rFonts w:ascii="Tahoma" w:hAnsi="Tahoma" w:cs="Tahoma"/>
      <w:sz w:val="16"/>
      <w:szCs w:val="16"/>
    </w:rPr>
  </w:style>
  <w:style w:type="paragraph" w:customStyle="1" w:styleId="Iauiue">
    <w:name w:val="Iau?iue"/>
    <w:rsid w:val="00CF4E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styleId="a6">
    <w:name w:val="Hyperlink"/>
    <w:basedOn w:val="a0"/>
    <w:uiPriority w:val="99"/>
    <w:unhideWhenUsed/>
    <w:rsid w:val="00D55B88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55B88"/>
    <w:rPr>
      <w:color w:val="808080"/>
      <w:shd w:val="clear" w:color="auto" w:fill="E6E6E6"/>
    </w:rPr>
  </w:style>
  <w:style w:type="paragraph" w:customStyle="1" w:styleId="a7">
    <w:name w:val="Îáû÷íûé"/>
    <w:rsid w:val="00160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uk-UA"/>
    </w:rPr>
  </w:style>
  <w:style w:type="character" w:styleId="a8">
    <w:name w:val="annotation reference"/>
    <w:basedOn w:val="a0"/>
    <w:uiPriority w:val="99"/>
    <w:semiHidden/>
    <w:unhideWhenUsed/>
    <w:rsid w:val="00C34A9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34A9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4A9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34A9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34A9A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651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5137E"/>
  </w:style>
  <w:style w:type="paragraph" w:styleId="af">
    <w:name w:val="footer"/>
    <w:basedOn w:val="a"/>
    <w:link w:val="af0"/>
    <w:uiPriority w:val="99"/>
    <w:unhideWhenUsed/>
    <w:rsid w:val="00651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5137E"/>
  </w:style>
  <w:style w:type="character" w:customStyle="1" w:styleId="Iniiaiieoeoo">
    <w:name w:val="Iniiaiie o?eoo"/>
    <w:rsid w:val="00423951"/>
  </w:style>
  <w:style w:type="table" w:styleId="af1">
    <w:name w:val="Table Grid"/>
    <w:basedOn w:val="a1"/>
    <w:uiPriority w:val="39"/>
    <w:rsid w:val="000918EF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C5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cid:image003.jpg@01D85629.C6D18F60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cid:image005.jpg@01D85629.C6D18F60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79741-7D4B-4A6D-B62F-A0910A8D0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Гісем Олена Михайлівна</dc:creator>
  <cp:lastModifiedBy>Романова Ірина Леонідівна</cp:lastModifiedBy>
  <cp:revision>3</cp:revision>
  <cp:lastPrinted>2020-01-29T08:31:00Z</cp:lastPrinted>
  <dcterms:created xsi:type="dcterms:W3CDTF">2024-01-24T10:09:00Z</dcterms:created>
  <dcterms:modified xsi:type="dcterms:W3CDTF">2024-01-24T10:14:00Z</dcterms:modified>
</cp:coreProperties>
</file>