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4A8CA" w14:textId="0DCBCBEC" w:rsidR="003B1ABB" w:rsidRDefault="004F191A" w:rsidP="00CA63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6386">
        <w:rPr>
          <w:rFonts w:ascii="Times New Roman" w:hAnsi="Times New Roman" w:cs="Times New Roman"/>
          <w:b/>
          <w:bCs/>
          <w:sz w:val="24"/>
          <w:szCs w:val="24"/>
        </w:rPr>
        <w:t>Виявлення корупціогенни</w:t>
      </w:r>
      <w:bookmarkStart w:id="0" w:name="_GoBack"/>
      <w:bookmarkEnd w:id="0"/>
      <w:r w:rsidRPr="00CA6386">
        <w:rPr>
          <w:rFonts w:ascii="Times New Roman" w:hAnsi="Times New Roman" w:cs="Times New Roman"/>
          <w:b/>
          <w:bCs/>
          <w:sz w:val="24"/>
          <w:szCs w:val="24"/>
        </w:rPr>
        <w:t xml:space="preserve">х факторів у проектах нормативних документів та чинних нормативних </w:t>
      </w:r>
      <w:r w:rsidR="00EF69CA" w:rsidRPr="00CA6386">
        <w:rPr>
          <w:rFonts w:ascii="Times New Roman" w:hAnsi="Times New Roman" w:cs="Times New Roman"/>
          <w:b/>
          <w:bCs/>
          <w:sz w:val="24"/>
          <w:szCs w:val="24"/>
        </w:rPr>
        <w:t>документ</w:t>
      </w:r>
      <w:r w:rsidR="00EF69CA">
        <w:rPr>
          <w:rFonts w:ascii="Times New Roman" w:hAnsi="Times New Roman" w:cs="Times New Roman"/>
          <w:b/>
          <w:bCs/>
          <w:sz w:val="24"/>
          <w:szCs w:val="24"/>
        </w:rPr>
        <w:t>ах</w:t>
      </w:r>
    </w:p>
    <w:p w14:paraId="4E2C1F21" w14:textId="77777777" w:rsidR="00C82A8C" w:rsidRPr="00CA6386" w:rsidRDefault="00C82A8C" w:rsidP="00CA63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14963" w:type="dxa"/>
        <w:tblInd w:w="-905" w:type="dxa"/>
        <w:tblLook w:val="04A0" w:firstRow="1" w:lastRow="0" w:firstColumn="1" w:lastColumn="0" w:noHBand="0" w:noVBand="1"/>
      </w:tblPr>
      <w:tblGrid>
        <w:gridCol w:w="985"/>
        <w:gridCol w:w="2885"/>
        <w:gridCol w:w="4590"/>
        <w:gridCol w:w="3150"/>
        <w:gridCol w:w="3353"/>
      </w:tblGrid>
      <w:tr w:rsidR="006B36EC" w:rsidRPr="00CA6386" w14:paraId="0DDFFC01" w14:textId="77777777" w:rsidTr="00630BED">
        <w:tc>
          <w:tcPr>
            <w:tcW w:w="985" w:type="dxa"/>
            <w:shd w:val="clear" w:color="auto" w:fill="D9E2F3" w:themeFill="accent1" w:themeFillTint="33"/>
          </w:tcPr>
          <w:p w14:paraId="0DB31559" w14:textId="77777777" w:rsidR="00E4145A" w:rsidRPr="00CA6386" w:rsidRDefault="00E4145A" w:rsidP="00CA63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63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85" w:type="dxa"/>
            <w:shd w:val="clear" w:color="auto" w:fill="D9E2F3" w:themeFill="accent1" w:themeFillTint="33"/>
          </w:tcPr>
          <w:p w14:paraId="2A46C170" w14:textId="77777777" w:rsidR="00E4145A" w:rsidRPr="00CA6386" w:rsidRDefault="00E4145A" w:rsidP="00CA63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A63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Корупціогенний</w:t>
            </w:r>
            <w:proofErr w:type="spellEnd"/>
            <w:r w:rsidRPr="00CA63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фактор</w:t>
            </w:r>
          </w:p>
        </w:tc>
        <w:tc>
          <w:tcPr>
            <w:tcW w:w="4590" w:type="dxa"/>
            <w:shd w:val="clear" w:color="auto" w:fill="D9E2F3" w:themeFill="accent1" w:themeFillTint="33"/>
          </w:tcPr>
          <w:p w14:paraId="7777B1D0" w14:textId="2438B754" w:rsidR="00E4145A" w:rsidRPr="00CA6386" w:rsidRDefault="00E4145A" w:rsidP="005401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63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Індикатори</w:t>
            </w:r>
            <w:r w:rsidR="00482B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EA0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(ознаки)</w:t>
            </w:r>
            <w:r w:rsidRPr="00CA63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корупціогенного </w:t>
            </w:r>
            <w:r w:rsidR="005401F7" w:rsidRPr="00CA63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фактор</w:t>
            </w:r>
            <w:r w:rsidR="00540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150" w:type="dxa"/>
            <w:shd w:val="clear" w:color="auto" w:fill="D9E2F3" w:themeFill="accent1" w:themeFillTint="33"/>
          </w:tcPr>
          <w:p w14:paraId="45ED6762" w14:textId="329F4C23" w:rsidR="00E4145A" w:rsidRPr="00CA6386" w:rsidRDefault="00E4145A" w:rsidP="009D69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63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Вплив корупціогенного </w:t>
            </w:r>
            <w:r w:rsidR="009D695E" w:rsidRPr="00CA63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фактор</w:t>
            </w:r>
            <w:r w:rsidR="009D69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353" w:type="dxa"/>
            <w:shd w:val="clear" w:color="auto" w:fill="D9E2F3" w:themeFill="accent1" w:themeFillTint="33"/>
          </w:tcPr>
          <w:p w14:paraId="3FA3E6F4" w14:textId="228A6707" w:rsidR="00E4145A" w:rsidRPr="00CA6386" w:rsidRDefault="00E4145A" w:rsidP="009D69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63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Шляхи усунення корупціогенного </w:t>
            </w:r>
            <w:r w:rsidR="009D695E" w:rsidRPr="00CA63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фактор</w:t>
            </w:r>
            <w:r w:rsidR="009D69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6B36EC" w:rsidRPr="00CA6386" w14:paraId="4ED24D93" w14:textId="77777777" w:rsidTr="00630BED">
        <w:tc>
          <w:tcPr>
            <w:tcW w:w="985" w:type="dxa"/>
            <w:shd w:val="clear" w:color="auto" w:fill="E2EFD9" w:themeFill="accent6" w:themeFillTint="33"/>
          </w:tcPr>
          <w:p w14:paraId="64D37246" w14:textId="77777777" w:rsidR="00CA6386" w:rsidRPr="006A28CC" w:rsidRDefault="006A28CC" w:rsidP="006A28C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5" w:type="dxa"/>
            <w:shd w:val="clear" w:color="auto" w:fill="E2EFD9" w:themeFill="accent6" w:themeFillTint="33"/>
          </w:tcPr>
          <w:p w14:paraId="1ED3E550" w14:textId="3C5D41C2" w:rsidR="00CA6386" w:rsidRPr="004D11D2" w:rsidRDefault="00CA6386" w:rsidP="005401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Прийняття заздалегідь неналежного нормативного </w:t>
            </w:r>
            <w:r w:rsidR="005401F7" w:rsidRPr="004D1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</w:t>
            </w:r>
            <w:r w:rsidR="00540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590" w:type="dxa"/>
            <w:shd w:val="clear" w:color="auto" w:fill="E2EFD9" w:themeFill="accent6" w:themeFillTint="33"/>
          </w:tcPr>
          <w:p w14:paraId="4210E788" w14:textId="77777777" w:rsidR="00CA6386" w:rsidRPr="00CB1D62" w:rsidRDefault="00D02C74" w:rsidP="00CB1D6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D62">
              <w:rPr>
                <w:rFonts w:ascii="Times New Roman" w:hAnsi="Times New Roman" w:cs="Times New Roman"/>
                <w:bCs/>
                <w:sz w:val="24"/>
                <w:szCs w:val="24"/>
              </w:rPr>
              <w:t>Непотрібний (зайвий) нормативний документ</w:t>
            </w:r>
            <w:r w:rsidR="00863EE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D8F3276" w14:textId="2EDDD879" w:rsidR="00D02C74" w:rsidRPr="00CB1D62" w:rsidRDefault="00CB1D62" w:rsidP="00CB1D6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D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Нормативний документ, </w:t>
            </w:r>
            <w:r w:rsidR="009325ED">
              <w:rPr>
                <w:rFonts w:ascii="Times New Roman" w:hAnsi="Times New Roman" w:cs="Times New Roman"/>
                <w:bCs/>
                <w:sz w:val="24"/>
                <w:szCs w:val="24"/>
              </w:rPr>
              <w:t>що</w:t>
            </w:r>
            <w:r w:rsidR="009325ED" w:rsidRPr="00CB1D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B1D62">
              <w:rPr>
                <w:rFonts w:ascii="Times New Roman" w:hAnsi="Times New Roman" w:cs="Times New Roman"/>
                <w:bCs/>
                <w:sz w:val="24"/>
                <w:szCs w:val="24"/>
              </w:rPr>
              <w:t>виходить за межі повноважень суб’єкта, який його приймає чи затверджує</w:t>
            </w:r>
            <w:r w:rsidR="009325E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98F9B7B" w14:textId="17028042" w:rsidR="00D02C74" w:rsidRPr="00CB1D62" w:rsidRDefault="00CB1D62" w:rsidP="00CB1D6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D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Нормативний документ, який суперечить положенням </w:t>
            </w:r>
            <w:proofErr w:type="spellStart"/>
            <w:r w:rsidR="009325ED" w:rsidRPr="00CB1D62">
              <w:rPr>
                <w:rFonts w:ascii="Times New Roman" w:hAnsi="Times New Roman" w:cs="Times New Roman"/>
                <w:bCs/>
                <w:sz w:val="24"/>
                <w:szCs w:val="24"/>
              </w:rPr>
              <w:t>акт</w:t>
            </w:r>
            <w:r w:rsidR="009325E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proofErr w:type="spellEnd"/>
            <w:r w:rsidR="009325ED" w:rsidRPr="00CB1D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B1D62">
              <w:rPr>
                <w:rFonts w:ascii="Times New Roman" w:hAnsi="Times New Roman" w:cs="Times New Roman"/>
                <w:bCs/>
                <w:sz w:val="24"/>
                <w:szCs w:val="24"/>
              </w:rPr>
              <w:t>вищої юридичної сили</w:t>
            </w:r>
            <w:r w:rsidR="009325E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54C8385" w14:textId="55FF258A" w:rsidR="00CB1D62" w:rsidRPr="00CB1D62" w:rsidRDefault="00CB1D62" w:rsidP="00CB1D6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D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Нормативний документ, який містить </w:t>
            </w:r>
            <w:proofErr w:type="spellStart"/>
            <w:r w:rsidR="009B5F1E" w:rsidRPr="00CB1D62">
              <w:rPr>
                <w:rFonts w:ascii="Times New Roman" w:hAnsi="Times New Roman" w:cs="Times New Roman"/>
                <w:bCs/>
                <w:sz w:val="24"/>
                <w:szCs w:val="24"/>
              </w:rPr>
              <w:t>взаємо</w:t>
            </w:r>
            <w:r w:rsidR="009B5F1E">
              <w:rPr>
                <w:rFonts w:ascii="Times New Roman" w:hAnsi="Times New Roman" w:cs="Times New Roman"/>
                <w:bCs/>
                <w:sz w:val="24"/>
                <w:szCs w:val="24"/>
              </w:rPr>
              <w:t>запереч</w:t>
            </w:r>
            <w:r w:rsidR="009B5F1E" w:rsidRPr="00CB1D62">
              <w:rPr>
                <w:rFonts w:ascii="Times New Roman" w:hAnsi="Times New Roman" w:cs="Times New Roman"/>
                <w:bCs/>
                <w:sz w:val="24"/>
                <w:szCs w:val="24"/>
              </w:rPr>
              <w:t>ні</w:t>
            </w:r>
            <w:proofErr w:type="spellEnd"/>
            <w:r w:rsidR="009B5F1E" w:rsidRPr="00CB1D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B1D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положення щодо врегулювання одних </w:t>
            </w:r>
            <w:r w:rsidR="009B5F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 </w:t>
            </w:r>
            <w:r w:rsidRPr="00CB1D62">
              <w:rPr>
                <w:rFonts w:ascii="Times New Roman" w:hAnsi="Times New Roman" w:cs="Times New Roman"/>
                <w:bCs/>
                <w:sz w:val="24"/>
                <w:szCs w:val="24"/>
              </w:rPr>
              <w:t>тих самих питань з нормативними актами одного з ним рівня</w:t>
            </w:r>
            <w:r w:rsidR="009B5F1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35E43E1" w14:textId="77777777" w:rsidR="00CB1D62" w:rsidRPr="00CB1D62" w:rsidRDefault="00CB1D62" w:rsidP="00CB1D6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1D62">
              <w:rPr>
                <w:rFonts w:ascii="Times New Roman" w:hAnsi="Times New Roman" w:cs="Times New Roman"/>
                <w:bCs/>
                <w:sz w:val="24"/>
                <w:szCs w:val="24"/>
              </w:rPr>
              <w:t>Нікчемний нормативний документ</w:t>
            </w:r>
          </w:p>
        </w:tc>
        <w:tc>
          <w:tcPr>
            <w:tcW w:w="3150" w:type="dxa"/>
            <w:shd w:val="clear" w:color="auto" w:fill="E2EFD9" w:themeFill="accent6" w:themeFillTint="33"/>
          </w:tcPr>
          <w:p w14:paraId="625F0247" w14:textId="384FF680" w:rsidR="00CA6386" w:rsidRPr="00CA6386" w:rsidRDefault="00CB1D62" w:rsidP="00926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2">
              <w:rPr>
                <w:rFonts w:ascii="Times New Roman" w:hAnsi="Times New Roman" w:cs="Times New Roman"/>
                <w:sz w:val="24"/>
                <w:szCs w:val="24"/>
              </w:rPr>
              <w:t>Створює або закріплює корупційні схеми, спрямовані на отримання неправомірної вигоди</w:t>
            </w:r>
            <w:r w:rsidR="00A170BC">
              <w:rPr>
                <w:rFonts w:ascii="Times New Roman" w:hAnsi="Times New Roman" w:cs="Times New Roman"/>
                <w:sz w:val="24"/>
                <w:szCs w:val="24"/>
              </w:rPr>
              <w:t xml:space="preserve">, спеціально розробляється для створення умов </w:t>
            </w:r>
            <w:r w:rsidR="00926352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="00A170BC">
              <w:rPr>
                <w:rFonts w:ascii="Times New Roman" w:hAnsi="Times New Roman" w:cs="Times New Roman"/>
                <w:sz w:val="24"/>
                <w:szCs w:val="24"/>
              </w:rPr>
              <w:t xml:space="preserve"> приховування корупційних правопорушень або правопорушень, пов’язаних з корупцією</w:t>
            </w:r>
          </w:p>
        </w:tc>
        <w:tc>
          <w:tcPr>
            <w:tcW w:w="3353" w:type="dxa"/>
            <w:shd w:val="clear" w:color="auto" w:fill="E2EFD9" w:themeFill="accent6" w:themeFillTint="33"/>
          </w:tcPr>
          <w:p w14:paraId="71E73B13" w14:textId="6EB05E65" w:rsidR="00CA6386" w:rsidRPr="00CA6386" w:rsidRDefault="00001BEC" w:rsidP="00573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2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Рекомендації </w:t>
            </w:r>
            <w:r w:rsidR="00CB1D62" w:rsidRPr="00CB1D62">
              <w:rPr>
                <w:rFonts w:ascii="Times New Roman" w:hAnsi="Times New Roman" w:cs="Times New Roman"/>
                <w:sz w:val="24"/>
                <w:szCs w:val="24"/>
              </w:rPr>
              <w:t xml:space="preserve">щодо відмови від прийняття такого нормативного </w:t>
            </w:r>
            <w:r w:rsidR="005738A4" w:rsidRPr="00CB1D62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5738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B36EC" w:rsidRPr="00CA6386" w14:paraId="3F7E75A2" w14:textId="77777777" w:rsidTr="00630BED">
        <w:tc>
          <w:tcPr>
            <w:tcW w:w="985" w:type="dxa"/>
            <w:shd w:val="clear" w:color="auto" w:fill="FBE4D5" w:themeFill="accent2" w:themeFillTint="33"/>
          </w:tcPr>
          <w:p w14:paraId="74F6DC09" w14:textId="77777777" w:rsidR="00E4145A" w:rsidRPr="006A28CC" w:rsidRDefault="006A28CC" w:rsidP="006A2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8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85" w:type="dxa"/>
            <w:shd w:val="clear" w:color="auto" w:fill="FBE4D5" w:themeFill="accent2" w:themeFillTint="33"/>
          </w:tcPr>
          <w:p w14:paraId="3D644B18" w14:textId="5EA449C5" w:rsidR="00E4145A" w:rsidRPr="004D11D2" w:rsidRDefault="00CA6386" w:rsidP="005D10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Нечітке визначення функцій, прав, </w:t>
            </w:r>
            <w:r w:rsidR="005D1065" w:rsidRPr="004D1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обов</w:t>
            </w:r>
            <w:r w:rsidR="005D1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’</w:t>
            </w:r>
            <w:r w:rsidR="005D1065" w:rsidRPr="004D1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язків</w:t>
            </w:r>
            <w:r w:rsidRPr="004D1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підзвітності </w:t>
            </w:r>
            <w:r w:rsidR="005D1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="005D1065" w:rsidRPr="004D1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D1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відповідальності державних органів та їх</w:t>
            </w:r>
            <w:r w:rsidR="005D1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ніх</w:t>
            </w:r>
            <w:r w:rsidRPr="004D1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посадових осіб</w:t>
            </w:r>
          </w:p>
        </w:tc>
        <w:tc>
          <w:tcPr>
            <w:tcW w:w="4590" w:type="dxa"/>
            <w:shd w:val="clear" w:color="auto" w:fill="FBE4D5" w:themeFill="accent2" w:themeFillTint="33"/>
          </w:tcPr>
          <w:p w14:paraId="4BA19B14" w14:textId="574E8F7B" w:rsidR="004C7446" w:rsidRDefault="005D1065" w:rsidP="004C744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евизначеність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>чіткого змісту службової діяльності посадової особи, зокрема недостатнє визначення обов’язків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1C7336C" w14:textId="3082A57A" w:rsidR="004C7446" w:rsidRPr="004C7446" w:rsidRDefault="005D1065" w:rsidP="004C744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евизначеність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спеціальних обмежень, 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>пов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’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язаних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виконанням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становлених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>повноважень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20C71F4" w14:textId="24852D19" w:rsidR="004C7446" w:rsidRPr="004C7446" w:rsidRDefault="005D1065" w:rsidP="004C744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аявність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>оцінних понять</w:t>
            </w:r>
            <w:r w:rsid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 </w:t>
            </w:r>
            <w:r w:rsidR="004C7446">
              <w:rPr>
                <w:rFonts w:ascii="Times New Roman" w:hAnsi="Times New Roman" w:cs="Times New Roman"/>
                <w:bCs/>
                <w:sz w:val="24"/>
                <w:szCs w:val="24"/>
              </w:rPr>
              <w:t>відсильних норм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27C6E90" w14:textId="77040E40" w:rsidR="004C7446" w:rsidRPr="004C7446" w:rsidRDefault="005D1065" w:rsidP="004C744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евизначеність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>меж персональної відповідальності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AAA6AC0" w14:textId="2E2E194E" w:rsidR="004C7446" w:rsidRPr="004C7446" w:rsidRDefault="005D1065" w:rsidP="004C744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бмеження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>можливостей оскарження рішень посадових та/або службових осіб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6CDF276" w14:textId="0629752A" w:rsidR="004C7446" w:rsidRPr="004C7446" w:rsidRDefault="005D1065" w:rsidP="004C744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кладна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>або нечітка процедура оскарження рішень посадових та/або службових осіб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5DB60DF" w14:textId="2D782391" w:rsidR="004C7446" w:rsidRPr="004C7446" w:rsidRDefault="005D1065" w:rsidP="004C744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еможливість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становлення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відповідальної особи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яка наділена правом здійснювати ту чи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функцію, виконувати закріплені нормативно-правовим актом, проектом нормативно-правового </w:t>
            </w:r>
            <w:proofErr w:type="spellStart"/>
            <w:r w:rsidR="00511038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>акт</w:t>
            </w:r>
            <w:r w:rsidR="0051103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proofErr w:type="spellEnd"/>
            <w:r w:rsidR="00511038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обов</w:t>
            </w:r>
            <w:r w:rsidR="00511038">
              <w:rPr>
                <w:rFonts w:ascii="Times New Roman" w:hAnsi="Times New Roman" w:cs="Times New Roman"/>
                <w:bCs/>
                <w:sz w:val="24"/>
                <w:szCs w:val="24"/>
              </w:rPr>
              <w:t>’</w:t>
            </w:r>
            <w:r w:rsidR="00511038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язки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>і права</w:t>
            </w:r>
            <w:r w:rsidR="0051103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C203A35" w14:textId="199C6698" w:rsidR="004C7446" w:rsidRPr="004C7446" w:rsidRDefault="00511038" w:rsidP="004C744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ідсутність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>порядку взаємодії з іншими посадовими особами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B65CC02" w14:textId="6BAABF05" w:rsidR="004C7446" w:rsidRPr="004C7446" w:rsidRDefault="00511038" w:rsidP="004C744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еврегульованість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процедури позавідомчого контролю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B5050E1" w14:textId="0EC834CC" w:rsidR="004C7446" w:rsidRPr="004C7446" w:rsidRDefault="00511038" w:rsidP="004C744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ідсутність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>чітких критеріїв оцінки діяльності суб’єкта відповідальності та механізмів контролю за її діяльністю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33B8DCD" w14:textId="1B27173F" w:rsidR="004C7446" w:rsidRPr="004C7446" w:rsidRDefault="00511038" w:rsidP="004C744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елегування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повноважень державного органу або органу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місцевого самоврядування юридичним особам приватного права без обґрунтування необхідності такого делегування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EBB9E94" w14:textId="02805446" w:rsidR="004C7446" w:rsidRPr="004C7446" w:rsidRDefault="00511038" w:rsidP="004C744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становлення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правил, процедур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наділення повноваженнями перевіряти дотримання цих правил, процедур одній і тій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самій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посадовій/службовій особі чи одному й тому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самому</w:t>
            </w:r>
            <w:r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C7446" w:rsidRPr="004C7446">
              <w:rPr>
                <w:rFonts w:ascii="Times New Roman" w:hAnsi="Times New Roman" w:cs="Times New Roman"/>
                <w:bCs/>
                <w:sz w:val="24"/>
                <w:szCs w:val="24"/>
              </w:rPr>
              <w:t>органу або підрозділу.</w:t>
            </w:r>
          </w:p>
          <w:p w14:paraId="2EBF7AF1" w14:textId="102DB0A3" w:rsidR="00E4145A" w:rsidRPr="008C5C5B" w:rsidRDefault="007B7009" w:rsidP="0051103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C5B">
              <w:rPr>
                <w:rFonts w:ascii="Times New Roman" w:hAnsi="Times New Roman" w:cs="Times New Roman"/>
                <w:b/>
                <w:sz w:val="24"/>
                <w:szCs w:val="24"/>
              </w:rPr>
              <w:t>Ключові слова та словосполучення:</w:t>
            </w:r>
            <w:r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«має (мають) право», «може (можуть)», «вправі», «уповноважений (уповноважені)», «компетенція», «зобов’язаний (зобов’язані)»</w:t>
            </w:r>
            <w:r w:rsidR="0051103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«…та іншими нормативно-правовими актами», «іншими актами законодавства», «визначаються законом», «визначається Кабінетом Міністрів України», «визначається центральним органом виконавчої влади», тощо», «абощо», «інше (інші)», «тому подібне (подібні)», «т. д.»</w:t>
            </w:r>
          </w:p>
        </w:tc>
        <w:tc>
          <w:tcPr>
            <w:tcW w:w="3150" w:type="dxa"/>
            <w:shd w:val="clear" w:color="auto" w:fill="FBE4D5" w:themeFill="accent2" w:themeFillTint="33"/>
          </w:tcPr>
          <w:p w14:paraId="02DC4E0A" w14:textId="1F13A0DF" w:rsidR="000A5788" w:rsidRPr="008C5C5B" w:rsidRDefault="007B7009" w:rsidP="000A57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Створює </w:t>
            </w:r>
            <w:r w:rsidR="000A5788"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можливості для зловживання наданими повноваженнями, реалізації особистих, майнових (фінансових) чи інших, не </w:t>
            </w:r>
            <w:r w:rsidR="00511038"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>пов</w:t>
            </w:r>
            <w:r w:rsidR="00511038">
              <w:rPr>
                <w:rFonts w:ascii="Times New Roman" w:hAnsi="Times New Roman" w:cs="Times New Roman"/>
                <w:bCs/>
                <w:sz w:val="24"/>
                <w:szCs w:val="24"/>
              </w:rPr>
              <w:t>’</w:t>
            </w:r>
            <w:r w:rsidR="00511038"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язаних </w:t>
            </w:r>
            <w:r w:rsidR="000A5788"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 інтересами </w:t>
            </w:r>
            <w:r w:rsidR="000A5788"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служби, інтересів особи </w:t>
            </w:r>
            <w:r w:rsidR="00511038"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511038">
              <w:rPr>
                <w:rFonts w:ascii="Times New Roman" w:hAnsi="Times New Roman" w:cs="Times New Roman"/>
                <w:bCs/>
                <w:sz w:val="24"/>
                <w:szCs w:val="24"/>
              </w:rPr>
              <w:t>ід час</w:t>
            </w:r>
            <w:r w:rsidR="00511038"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A5788"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</w:t>
            </w:r>
            <w:r w:rsidR="00511038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="000A5788"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службових обов’язків,</w:t>
            </w:r>
            <w:r w:rsidR="000A5788" w:rsidRPr="008C5C5B">
              <w:rPr>
                <w:rFonts w:ascii="Times New Roman" w:hAnsi="Times New Roman" w:cs="Times New Roman"/>
                <w:sz w:val="24"/>
                <w:szCs w:val="24"/>
              </w:rPr>
              <w:t xml:space="preserve"> може при</w:t>
            </w:r>
            <w:r w:rsidR="0051103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A5788" w:rsidRPr="008C5C5B">
              <w:rPr>
                <w:rFonts w:ascii="Times New Roman" w:hAnsi="Times New Roman" w:cs="Times New Roman"/>
                <w:sz w:val="24"/>
                <w:szCs w:val="24"/>
              </w:rPr>
              <w:t>вести до с</w:t>
            </w:r>
            <w:r w:rsidR="000A5788"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>творення умов для виникнення потенційного чи реального конфлікту інтересів</w:t>
            </w:r>
            <w:r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або вчинення корупційного чи пов’язаного з корупцією правопорушення</w:t>
            </w:r>
            <w:r w:rsidR="000A5788"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8AA8AFB" w14:textId="1BF6185F" w:rsidR="002B06C4" w:rsidRPr="008C5C5B" w:rsidRDefault="002B06C4" w:rsidP="004C0F67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>Поєднання нормотворчих і контролюючих функцій в одному державному органі може призвести як до використання його працівниками службового становища з корупційною метою</w:t>
            </w:r>
            <w:r w:rsidR="0051103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</w:t>
            </w:r>
            <w:r w:rsidR="00511038">
              <w:rPr>
                <w:rFonts w:ascii="Times New Roman" w:hAnsi="Times New Roman" w:cs="Times New Roman"/>
                <w:bCs/>
                <w:sz w:val="24"/>
                <w:szCs w:val="24"/>
              </w:rPr>
              <w:t>к і до</w:t>
            </w:r>
            <w:r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вимагання неправомірної вимоги від осіб, які звертаються до них</w:t>
            </w:r>
          </w:p>
          <w:p w14:paraId="21A2A59D" w14:textId="77777777" w:rsidR="002B06C4" w:rsidRPr="008C5C5B" w:rsidRDefault="002B06C4" w:rsidP="000A57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7B84E20" w14:textId="77777777" w:rsidR="00E4145A" w:rsidRPr="008C5C5B" w:rsidRDefault="00E41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FBE4D5" w:themeFill="accent2" w:themeFillTint="33"/>
          </w:tcPr>
          <w:p w14:paraId="749A1683" w14:textId="00A8581A" w:rsidR="004C0F67" w:rsidRPr="00630BED" w:rsidRDefault="00511038" w:rsidP="00630BED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</w:t>
            </w:r>
            <w:r w:rsidR="004C0F67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ключення норм, що </w:t>
            </w:r>
            <w:r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ють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змогу</w:t>
            </w:r>
            <w:r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C0F67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визначити відповідальних осіб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C0F67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65E8737" w14:textId="0AD75841" w:rsidR="004C0F67" w:rsidRPr="008C5C5B" w:rsidRDefault="00511038" w:rsidP="00630BED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>жит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тя</w:t>
            </w:r>
            <w:r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заходів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що</w:t>
            </w:r>
            <w:r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t>до перерозподілу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повноважень у разі їх надмірної концентрації </w:t>
            </w:r>
            <w:r w:rsidR="004C0F67" w:rsidRPr="008C5C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одного суб’єкта відповідальності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3762AEA" w14:textId="5BAD4240" w:rsidR="004C0F67" w:rsidRPr="00630BED" w:rsidRDefault="00511038" w:rsidP="00630BED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становлення </w:t>
            </w:r>
            <w:r w:rsidR="004C0F67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посадових осіб додаткових заборон, обмежень чи </w:t>
            </w:r>
            <w:r w:rsidR="00960A4B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обов</w:t>
            </w:r>
            <w:r w:rsidR="00960A4B">
              <w:rPr>
                <w:rFonts w:ascii="Times New Roman" w:hAnsi="Times New Roman" w:cs="Times New Roman"/>
                <w:bCs/>
                <w:sz w:val="24"/>
                <w:szCs w:val="24"/>
              </w:rPr>
              <w:t>’</w:t>
            </w:r>
            <w:r w:rsidR="00960A4B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язків</w:t>
            </w:r>
            <w:r w:rsidR="00960A4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75915FE" w14:textId="48319EB8" w:rsidR="004C0F67" w:rsidRPr="00630BED" w:rsidRDefault="00960A4B" w:rsidP="00630BED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ведення </w:t>
            </w:r>
            <w:r w:rsidR="004C0F67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додаткових критеріїв оцінки якості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4C0F67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ефективності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C0F67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і результативності службової діяльності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FAD99F2" w14:textId="2DF1B8CC" w:rsidR="004C0F67" w:rsidRPr="00630BED" w:rsidRDefault="00960A4B" w:rsidP="00630BED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4C0F67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точнення обсягу службової компетенції відповідних посадових або службових осіб</w:t>
            </w:r>
            <w:r w:rsidR="0014706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1F7CF9A" w14:textId="2D4B2B39" w:rsidR="004C0F67" w:rsidRPr="00630BED" w:rsidRDefault="0014706E" w:rsidP="00630BED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4C0F67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становлення додаткових механізмів взаємодії посадових осіб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AE415FF" w14:textId="37C5FDA1" w:rsidR="008D7F3A" w:rsidRPr="00630BED" w:rsidRDefault="0014706E" w:rsidP="00630BED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4C0F67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точнення термінології</w:t>
            </w:r>
            <w:r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B2CA350" w14:textId="419FCDC0" w:rsidR="008D7F3A" w:rsidRPr="00630BED" w:rsidRDefault="0014706E" w:rsidP="00630BED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8D7F3A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досконалення процедури оскарження рішень</w:t>
            </w:r>
            <w:r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D7F3A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A821F6F" w14:textId="2AA5046F" w:rsidR="008D7F3A" w:rsidRPr="00630BED" w:rsidRDefault="0014706E" w:rsidP="00630BED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8D7F3A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ерефразування оціночних понять та зменшення кількості відсильних норм</w:t>
            </w:r>
            <w:r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CFCCA54" w14:textId="17A7ED52" w:rsidR="007B7009" w:rsidRPr="00630BED" w:rsidRDefault="0014706E" w:rsidP="00630BED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бґрунтування </w:t>
            </w:r>
            <w:r w:rsidR="007B7009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делегування повноважень суб’єктам приватного права</w:t>
            </w:r>
            <w:r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8EACCAA" w14:textId="6D5FD4B6" w:rsidR="004C0F67" w:rsidRPr="00630BED" w:rsidRDefault="0014706E" w:rsidP="00630BED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</w:t>
            </w:r>
            <w:r w:rsidR="007B7009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озмежування нормотворчих </w:t>
            </w:r>
            <w:r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 </w:t>
            </w:r>
            <w:r w:rsidR="007B7009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контролюючих функцій</w:t>
            </w:r>
          </w:p>
          <w:p w14:paraId="02BA4890" w14:textId="77777777" w:rsidR="00E4145A" w:rsidRPr="008C5C5B" w:rsidRDefault="00E41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FF2" w:rsidRPr="00CA6386" w14:paraId="4E195F0F" w14:textId="77777777" w:rsidTr="00630BED">
        <w:tc>
          <w:tcPr>
            <w:tcW w:w="985" w:type="dxa"/>
            <w:shd w:val="clear" w:color="auto" w:fill="EDEDED" w:themeFill="accent3" w:themeFillTint="33"/>
          </w:tcPr>
          <w:p w14:paraId="71739FF8" w14:textId="77777777" w:rsidR="00E4145A" w:rsidRPr="006A28CC" w:rsidRDefault="006A28CC" w:rsidP="006A2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8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2885" w:type="dxa"/>
            <w:shd w:val="clear" w:color="auto" w:fill="EDEDED" w:themeFill="accent3" w:themeFillTint="33"/>
          </w:tcPr>
          <w:p w14:paraId="7BCCCEF2" w14:textId="77777777" w:rsidR="00E4145A" w:rsidRPr="004D11D2" w:rsidRDefault="00BB6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Відсутність, нечіткість або неповнота адміністративних процедур. Наявність </w:t>
            </w:r>
            <w:r w:rsidRPr="004D11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необґрунтованих преференцій</w:t>
            </w:r>
          </w:p>
        </w:tc>
        <w:tc>
          <w:tcPr>
            <w:tcW w:w="4590" w:type="dxa"/>
            <w:shd w:val="clear" w:color="auto" w:fill="EDEDED" w:themeFill="accent3" w:themeFillTint="33"/>
          </w:tcPr>
          <w:p w14:paraId="7B2C22CE" w14:textId="10704EF8" w:rsidR="00103C15" w:rsidRPr="00533DDC" w:rsidRDefault="0079468B" w:rsidP="00533DD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</w:t>
            </w:r>
            <w:r w:rsidRPr="00533D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ідсутність </w:t>
            </w:r>
            <w:r w:rsidR="00103C15" w:rsidRPr="00533DDC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структурних елементів процедури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74033A4" w14:textId="671BF659" w:rsidR="0016015A" w:rsidRPr="00533DDC" w:rsidRDefault="0079468B" w:rsidP="00533DD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533D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ідсутність </w:t>
            </w:r>
            <w:r w:rsidR="0016015A" w:rsidRPr="00533D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раціонального обґрунтування переліку </w:t>
            </w:r>
            <w:r w:rsidR="0016015A" w:rsidRPr="00533DD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необхідних документів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50A0FB1" w14:textId="7B6872B8" w:rsidR="0016015A" w:rsidRPr="00EA3370" w:rsidRDefault="0079468B" w:rsidP="00EA337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икористання </w:t>
            </w:r>
            <w:r w:rsidR="0016015A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спрощеної процедури в інших аналогічних випадках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E08CF79" w14:textId="0F33B6D0" w:rsidR="00F13760" w:rsidRPr="00EA3370" w:rsidRDefault="0079468B" w:rsidP="00EA337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ідсутність </w:t>
            </w:r>
            <w:r w:rsidR="00F13760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чітко визначених механізмів перевірки та контролю обґрунтованості рішень, які приймаються в межах дискреційних повноважень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30C0417" w14:textId="4B447415" w:rsidR="00EA3370" w:rsidRPr="00EA3370" w:rsidRDefault="0079468B" w:rsidP="00EA337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аявність </w:t>
            </w:r>
            <w:proofErr w:type="spellStart"/>
            <w:r w:rsidR="00EA3370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нечіткостей</w:t>
            </w:r>
            <w:proofErr w:type="spellEnd"/>
            <w:r w:rsidR="00EA3370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становленої </w:t>
            </w:r>
            <w:r w:rsidR="00EA3370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адміністративної процедури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F05A37E" w14:textId="1FB6C2C4" w:rsidR="0016015A" w:rsidRPr="00EA3370" w:rsidRDefault="0079468B" w:rsidP="00EA337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ідсутність </w:t>
            </w:r>
            <w:r w:rsidR="00EA3370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прямої</w:t>
            </w:r>
            <w:r w:rsidR="0016015A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заборон</w:t>
            </w:r>
            <w:r w:rsidR="00EA3370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16015A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особист</w:t>
            </w:r>
            <w:r w:rsidR="00EA3370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16015A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контакт</w:t>
            </w:r>
            <w:r w:rsidR="00EA3370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16015A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фізичних чи </w:t>
            </w:r>
            <w:r w:rsidR="00EA3370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представників </w:t>
            </w:r>
            <w:r w:rsidR="0016015A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юридичних осіб з </w:t>
            </w:r>
            <w:r w:rsidR="00EA3370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посадовими особами</w:t>
            </w:r>
            <w:r w:rsidR="0016015A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під час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6015A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реалізації адміністративної процедури або </w:t>
            </w:r>
            <w:r w:rsidR="00EA3370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наявність</w:t>
            </w:r>
            <w:r w:rsidR="0016015A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умов, за яких такий контакт обов’язково відбудеться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65E215F" w14:textId="41E8F9CE" w:rsidR="0016015A" w:rsidRPr="00EA3370" w:rsidRDefault="0079468B" w:rsidP="00EA337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аведення </w:t>
            </w:r>
            <w:r w:rsidR="0016015A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повної назви суб’єкта або визначення ознак у спосіб, що </w:t>
            </w:r>
            <w:r w:rsidR="003137DD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3137D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3137DD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є </w:t>
            </w:r>
            <w:r w:rsidR="003137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змогу </w:t>
            </w:r>
            <w:r w:rsidR="0016015A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його ідентифікувати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16015A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 визначення кваліфікуючих ознак суб’єкта, що характеризує тільки його</w:t>
            </w:r>
            <w:r w:rsidR="003137D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4330903" w14:textId="5E899139" w:rsidR="0016015A" w:rsidRPr="00EA3370" w:rsidRDefault="003137DD" w:rsidP="00EA337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аведення </w:t>
            </w:r>
            <w:r w:rsidR="0016015A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повної назви 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’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єкта</w:t>
            </w:r>
            <w:r w:rsidR="0016015A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, який отримує переваги, преференції, пільги тощо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16015A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або </w:t>
            </w:r>
            <w:r w:rsidR="0016015A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визначення кваліфікаційних ознак такого суб’єкта у спосіб, що дозволяє його ідентифікацію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4ED8737" w14:textId="5E952D6B" w:rsidR="0016015A" w:rsidRPr="00EA3370" w:rsidRDefault="003137DD" w:rsidP="00EA337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становлення </w:t>
            </w:r>
            <w:r w:rsidR="0016015A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необґрунтованих винятків із загального правила для конкретного суб’єкта.   </w:t>
            </w:r>
          </w:p>
          <w:p w14:paraId="47691BA0" w14:textId="77777777" w:rsidR="00EA3370" w:rsidRPr="00EA3370" w:rsidRDefault="00EA3370" w:rsidP="00EA33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3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Ключові слова: 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«порядок», «строк».</w:t>
            </w:r>
          </w:p>
          <w:p w14:paraId="2655B061" w14:textId="77777777" w:rsidR="00E4145A" w:rsidRPr="00CA6386" w:rsidRDefault="00E41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EDEDED" w:themeFill="accent3" w:themeFillTint="33"/>
          </w:tcPr>
          <w:p w14:paraId="405C3841" w14:textId="77777777" w:rsidR="00EA3370" w:rsidRPr="00EA3370" w:rsidRDefault="00F50E41" w:rsidP="00EA33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Штучно </w:t>
            </w:r>
            <w:r w:rsidR="00EA3370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створює дискреційні повноваження для посадової особи, яка здійснює адміністративну </w:t>
            </w:r>
            <w:r w:rsidR="00EA3370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процедуру, створює умови для вимагання неправомірної вигоди чи вчинення інших корупційних правопорушень.</w:t>
            </w:r>
          </w:p>
          <w:p w14:paraId="2CE6E63D" w14:textId="1BFC496D" w:rsidR="001B75B8" w:rsidRPr="00EA3370" w:rsidRDefault="001B75B8" w:rsidP="001B75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Необґрунтовані преференції для конкретних суб’єктів в адміністративних процедурах, як правило, є результатом корупційних дій або </w:t>
            </w:r>
            <w:proofErr w:type="spellStart"/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зв’язків</w:t>
            </w:r>
            <w:proofErr w:type="spellEnd"/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, наявності потенційного конфлікту інтересів</w:t>
            </w:r>
          </w:p>
          <w:p w14:paraId="311B76B9" w14:textId="77777777" w:rsidR="00E4145A" w:rsidRPr="00CA6386" w:rsidRDefault="00E4145A" w:rsidP="00EA3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EDEDED" w:themeFill="accent3" w:themeFillTint="33"/>
          </w:tcPr>
          <w:p w14:paraId="05A65267" w14:textId="6401CB7D" w:rsidR="00EA3370" w:rsidRPr="00630BED" w:rsidRDefault="0014706E" w:rsidP="00630B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</w:t>
            </w:r>
            <w:r w:rsidR="00F50E41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одати </w:t>
            </w:r>
            <w:r w:rsidR="00EA3370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положення, які раціонально </w:t>
            </w:r>
            <w:r w:rsidR="007F536E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обґрунтовують перелік документів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8B3FFED" w14:textId="14013CE3" w:rsidR="00103C15" w:rsidRPr="00630BED" w:rsidRDefault="0014706E" w:rsidP="00630B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</w:t>
            </w:r>
            <w:r w:rsidR="00103C15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очно визначити строк здійснення юридично значущих дій або порядок його визначення</w:t>
            </w:r>
            <w:r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C6DFE05" w14:textId="288F2A78" w:rsidR="007F536E" w:rsidRPr="00EA3370" w:rsidRDefault="0014706E" w:rsidP="00EA3370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Установити </w:t>
            </w:r>
            <w:r w:rsidR="007F53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механізм перевірки та контролю обґрунтованості прийняття рішень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</w:t>
            </w:r>
            <w:r w:rsidR="007F536E">
              <w:rPr>
                <w:rFonts w:ascii="Times New Roman" w:hAnsi="Times New Roman" w:cs="Times New Roman"/>
                <w:bCs/>
                <w:sz w:val="24"/>
                <w:szCs w:val="24"/>
              </w:rPr>
              <w:t>межах дискреційних повноважень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2B6ADE6" w14:textId="529EEAC3" w:rsidR="00103C15" w:rsidRPr="00EA3370" w:rsidRDefault="0014706E" w:rsidP="00EA3370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становити </w:t>
            </w:r>
            <w:r w:rsidR="00103C15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вичерпний перелік підстав для прийняття адміністративних актів, нормативно закріпити 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обов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’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язок </w:t>
            </w:r>
            <w:r w:rsidR="00103C15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посадових осіб мотивувати управлінське рішення, що ними приймається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53A5793" w14:textId="71FA5A33" w:rsidR="00103C15" w:rsidRPr="00EA3370" w:rsidRDefault="0014706E" w:rsidP="00EA3370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становити </w:t>
            </w:r>
            <w:r w:rsidR="00103C15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чіткі строки прийняття рішень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03C15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здійснення процедур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A3E8889" w14:textId="56764AB8" w:rsidR="00103C15" w:rsidRPr="00EA3370" w:rsidRDefault="0014706E" w:rsidP="00EA3370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адати </w:t>
            </w:r>
            <w:r w:rsidR="00103C15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фізичним та юридичним особам додаткові процесуальні гарантії впливу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перебіг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03C15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розвитку процедури (подавати клопотання, бути заслуханими, надавати </w:t>
            </w:r>
            <w:r w:rsidR="00103C15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матеріали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03C15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інформацію, оскаржувати рішення тощо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C0892FD" w14:textId="6903E2DA" w:rsidR="00103C15" w:rsidRDefault="0014706E" w:rsidP="00EA3370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сунути </w:t>
            </w:r>
            <w:r w:rsidR="00103C15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положення, які штучно створюють необхідність особистого контакту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FFBB5A0" w14:textId="30EFA849" w:rsidR="002F0955" w:rsidRPr="00EA3370" w:rsidRDefault="0014706E" w:rsidP="00EA3370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Прибрати </w:t>
            </w:r>
            <w:r w:rsidR="002F09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повні назви суб’єктів, які отримують переваги та/або ознаки,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що </w:t>
            </w:r>
            <w:r w:rsidR="002F0955">
              <w:rPr>
                <w:rFonts w:ascii="Times New Roman" w:hAnsi="Times New Roman" w:cs="Times New Roman"/>
                <w:bCs/>
                <w:sz w:val="24"/>
                <w:szCs w:val="24"/>
              </w:rPr>
              <w:t>допомагають ідентифікувати таких суб’єктів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6737A11" w14:textId="3C835FB1" w:rsidR="00103C15" w:rsidRPr="00EA3370" w:rsidRDefault="0014706E" w:rsidP="00EA3370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нші </w:t>
            </w:r>
            <w:r w:rsidR="00103C15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пропозиції, що 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змогу </w:t>
            </w:r>
            <w:r w:rsidR="00103C15" w:rsidRPr="00EA3370">
              <w:rPr>
                <w:rFonts w:ascii="Times New Roman" w:hAnsi="Times New Roman" w:cs="Times New Roman"/>
                <w:bCs/>
                <w:sz w:val="24"/>
                <w:szCs w:val="24"/>
              </w:rPr>
              <w:t>мінімізувати вплив посадових осіб на фізичних або юридичних осіб з метою примусу їх до вступу в корупційні відносини</w:t>
            </w:r>
          </w:p>
          <w:p w14:paraId="571EA7D4" w14:textId="77777777" w:rsidR="00E4145A" w:rsidRPr="00EA3370" w:rsidRDefault="00E4145A" w:rsidP="00EA337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143" w:rsidRPr="00CA6386" w14:paraId="63BF5CC8" w14:textId="77777777" w:rsidTr="00630BED">
        <w:tc>
          <w:tcPr>
            <w:tcW w:w="985" w:type="dxa"/>
            <w:shd w:val="clear" w:color="auto" w:fill="FFF2CC" w:themeFill="accent4" w:themeFillTint="33"/>
          </w:tcPr>
          <w:p w14:paraId="3E60A3A2" w14:textId="77777777" w:rsidR="00E4145A" w:rsidRPr="006A28CC" w:rsidRDefault="006A28CC" w:rsidP="006A2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8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85" w:type="dxa"/>
            <w:shd w:val="clear" w:color="auto" w:fill="FFF2CC" w:themeFill="accent4" w:themeFillTint="33"/>
          </w:tcPr>
          <w:p w14:paraId="1C7247E2" w14:textId="77777777" w:rsidR="00E4145A" w:rsidRPr="004D11D2" w:rsidRDefault="00CA63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1D2">
              <w:rPr>
                <w:rFonts w:ascii="Times New Roman" w:hAnsi="Times New Roman" w:cs="Times New Roman"/>
                <w:b/>
                <w:sz w:val="24"/>
                <w:szCs w:val="24"/>
              </w:rPr>
              <w:t>Надмірні або необґрунтовані дискреційні повноваження</w:t>
            </w:r>
          </w:p>
        </w:tc>
        <w:tc>
          <w:tcPr>
            <w:tcW w:w="4590" w:type="dxa"/>
            <w:shd w:val="clear" w:color="auto" w:fill="FFF2CC" w:themeFill="accent4" w:themeFillTint="33"/>
          </w:tcPr>
          <w:p w14:paraId="673C6E42" w14:textId="588F87DE" w:rsidR="00F34C8F" w:rsidRPr="0080599F" w:rsidRDefault="00CD3713" w:rsidP="00F34C8F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аявність 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нечітких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вказівок 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або відсутність вказівок на 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’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єкт 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прий</w:t>
            </w:r>
            <w:r w:rsidR="00A97A76">
              <w:rPr>
                <w:rFonts w:ascii="Times New Roman" w:hAnsi="Times New Roman" w:cs="Times New Roman"/>
                <w:bCs/>
                <w:sz w:val="24"/>
                <w:szCs w:val="24"/>
              </w:rPr>
              <w:t>няття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управлінськ</w:t>
            </w:r>
            <w:r w:rsidR="00A97A76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рішення</w:t>
            </w:r>
            <w:r w:rsidR="00A97A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D0444">
              <w:rPr>
                <w:rFonts w:ascii="Times New Roman" w:hAnsi="Times New Roman" w:cs="Times New Roman"/>
                <w:bCs/>
                <w:sz w:val="24"/>
                <w:szCs w:val="24"/>
              </w:rPr>
              <w:t>чи</w:t>
            </w:r>
            <w:r w:rsidR="00ED0444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здійсн</w:t>
            </w:r>
            <w:r w:rsidR="00A97A76">
              <w:rPr>
                <w:rFonts w:ascii="Times New Roman" w:hAnsi="Times New Roman" w:cs="Times New Roman"/>
                <w:bCs/>
                <w:sz w:val="24"/>
                <w:szCs w:val="24"/>
              </w:rPr>
              <w:t>ення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юридично значущ</w:t>
            </w:r>
            <w:r w:rsidR="00A97A76">
              <w:rPr>
                <w:rFonts w:ascii="Times New Roman" w:hAnsi="Times New Roman" w:cs="Times New Roman"/>
                <w:bCs/>
                <w:sz w:val="24"/>
                <w:szCs w:val="24"/>
              </w:rPr>
              <w:t>ої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дії</w:t>
            </w:r>
            <w:r w:rsidR="00ED04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45ECCEB" w14:textId="0CBEA5EE" w:rsidR="00815920" w:rsidRPr="00630BED" w:rsidRDefault="00ED0444" w:rsidP="00630BED">
            <w:pPr>
              <w:pStyle w:val="a3"/>
              <w:numPr>
                <w:ilvl w:val="0"/>
                <w:numId w:val="18"/>
              </w:numPr>
              <w:ind w:left="721"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F34C8F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ідсутність вказівок на юридичні факти (фактичний склад), що </w:t>
            </w:r>
            <w:r w:rsidR="00F34C8F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тягнуть за собою виникнення, зміну чи припинення правовідносин</w:t>
            </w:r>
            <w:bookmarkStart w:id="1" w:name="n109"/>
            <w:bookmarkEnd w:id="1"/>
            <w:r w:rsidR="00D5261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3E81F47" w14:textId="7F1833F8" w:rsidR="00815920" w:rsidRDefault="00D52611" w:rsidP="00815920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815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адання </w:t>
            </w:r>
            <w:r w:rsidR="00815920" w:rsidRPr="00815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разі</w:t>
            </w:r>
            <w:r w:rsidRPr="00815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виявленн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815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15920" w:rsidRPr="00815920">
              <w:rPr>
                <w:rFonts w:ascii="Times New Roman" w:hAnsi="Times New Roman" w:cs="Times New Roman"/>
                <w:bCs/>
                <w:sz w:val="24"/>
                <w:szCs w:val="24"/>
              </w:rPr>
              <w:t>певних обставин (</w:t>
            </w:r>
            <w:r w:rsidRPr="00815920">
              <w:rPr>
                <w:rFonts w:ascii="Times New Roman" w:hAnsi="Times New Roman" w:cs="Times New Roman"/>
                <w:bCs/>
                <w:sz w:val="24"/>
                <w:szCs w:val="24"/>
              </w:rPr>
              <w:t>настанн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815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15920" w:rsidRPr="00815920">
              <w:rPr>
                <w:rFonts w:ascii="Times New Roman" w:hAnsi="Times New Roman" w:cs="Times New Roman"/>
                <w:bCs/>
                <w:sz w:val="24"/>
                <w:szCs w:val="24"/>
              </w:rPr>
              <w:t>конкретних юридичних фактів) приймати чи не приймати управлінське рішення залежно від власної оцінки цих фактів</w:t>
            </w:r>
            <w:r w:rsidR="000C5FB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B049A58" w14:textId="59717877" w:rsidR="006D5CBC" w:rsidRPr="006D5CBC" w:rsidRDefault="000C5FB7" w:rsidP="006D5CBC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6D5C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ерерахування </w:t>
            </w:r>
            <w:r w:rsidR="006D5CBC" w:rsidRPr="006D5CBC">
              <w:rPr>
                <w:rFonts w:ascii="Times New Roman" w:hAnsi="Times New Roman" w:cs="Times New Roman"/>
                <w:bCs/>
                <w:sz w:val="24"/>
                <w:szCs w:val="24"/>
              </w:rPr>
              <w:t>видів рішень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вказівки</w:t>
            </w:r>
            <w:r w:rsidR="006D5CBC" w:rsidRPr="006D5C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 w:rsidRPr="006D5C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D5CBC" w:rsidRPr="006D5CBC">
              <w:rPr>
                <w:rFonts w:ascii="Times New Roman" w:hAnsi="Times New Roman" w:cs="Times New Roman"/>
                <w:bCs/>
                <w:sz w:val="24"/>
                <w:szCs w:val="24"/>
              </w:rPr>
              <w:t>підстав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6D5CBC" w:rsidRPr="006D5C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прийняття того чи іншого рішення або шляхом часткового визначення таких підстав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AA1FA9D" w14:textId="78650DD9" w:rsidR="00F34C8F" w:rsidRPr="0080599F" w:rsidRDefault="000C5FB7" w:rsidP="00F34C8F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ідсутність обов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’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язку 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мотивувати управлінське рішення, що приймається</w:t>
            </w:r>
            <w:r w:rsidR="009916E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31807F2" w14:textId="4B2A389C" w:rsidR="00F34C8F" w:rsidRPr="0080599F" w:rsidRDefault="00DE755F" w:rsidP="00F34C8F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2B7D1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дання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повноважень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становлення 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 надання дозволу щодо встановлення 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нятків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для певних суб’єктів з існуючих правил чи процедур: звільнення від проходження обов’язкової процедури, застосування спрощеної процедури стосовно конкретних суб’єктів</w:t>
            </w:r>
            <w:r w:rsidR="004A1EE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BF57726" w14:textId="51BF221A" w:rsidR="00F34C8F" w:rsidRPr="0080599F" w:rsidRDefault="004A1EE1" w:rsidP="00815920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повноважень щодо</w:t>
            </w:r>
            <w:r w:rsidR="00815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встановлення чи зміни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строків реалізації владних повноважень,</w:t>
            </w:r>
            <w:r w:rsidR="00815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поновлення строків,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прийняття управлінських рішень, здійснення 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інших юридично значущих дій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15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2E8DB67" w14:textId="4D794C23" w:rsidR="00F34C8F" w:rsidRPr="0080599F" w:rsidRDefault="004A1EE1" w:rsidP="00F34C8F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ожливість 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органу або посадової особи невмотивовано змінювати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перебіг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процедури, закінчувати або поновлювати процедурні відносини чи обирати сприятливі або несприятливі для фізичних чи юридичних осіб управлінські рішення</w:t>
            </w:r>
            <w:r w:rsidR="0047664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A35CCCB" w14:textId="6ECEF25A" w:rsidR="00F34C8F" w:rsidRPr="0080599F" w:rsidRDefault="00476646" w:rsidP="00F34C8F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раво 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органу (особи, уповноваженої на виконання функцій держави або місцевого самоврядування) витребувати від фізичних та юридичних осіб додаткові відомості, документи, інформацію, здійснення інших юридично значущих дій, не вказуючи вичерпних підстав для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таких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рішень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CFE616F" w14:textId="38B59ECE" w:rsidR="00F34C8F" w:rsidRDefault="00476646" w:rsidP="00F34C8F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аведення </w:t>
            </w:r>
            <w:r w:rsidR="00F34C8F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відкритого, тобто невичерпного переліку підстав для відмови у наданні адміністративної процедури. </w:t>
            </w:r>
          </w:p>
          <w:p w14:paraId="25ECC96D" w14:textId="77777777" w:rsidR="005A2492" w:rsidRPr="00630BED" w:rsidRDefault="005A2492" w:rsidP="00630BED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7F815DF" w14:textId="4D11FEAC" w:rsidR="00815920" w:rsidRPr="00123AA9" w:rsidRDefault="00BF0395" w:rsidP="006D5CB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C5B">
              <w:rPr>
                <w:rFonts w:ascii="Times New Roman" w:hAnsi="Times New Roman" w:cs="Times New Roman"/>
                <w:b/>
                <w:sz w:val="24"/>
                <w:szCs w:val="24"/>
              </w:rPr>
              <w:t>Ключові слова та словосполучення</w:t>
            </w:r>
            <w:r w:rsidRPr="00123AA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23A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3AA9" w:rsidRPr="00630BE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15920" w:rsidRPr="00123AA9">
              <w:rPr>
                <w:rFonts w:ascii="Times New Roman" w:hAnsi="Times New Roman" w:cs="Times New Roman"/>
                <w:bCs/>
                <w:sz w:val="24"/>
                <w:szCs w:val="24"/>
              </w:rPr>
              <w:t>за наявності поважних причин орган вправі надати...</w:t>
            </w:r>
            <w:r w:rsidR="00123AA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815920" w:rsidRPr="00123A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123AA9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815920" w:rsidRPr="00123AA9">
              <w:rPr>
                <w:rFonts w:ascii="Times New Roman" w:hAnsi="Times New Roman" w:cs="Times New Roman"/>
                <w:bCs/>
                <w:sz w:val="24"/>
                <w:szCs w:val="24"/>
              </w:rPr>
              <w:t>у виключних випадках особа, уповноважена на виконання функцій держави або місцевого самоврядування, може дозволити...</w:t>
            </w:r>
            <w:r w:rsidR="00123AA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815920" w:rsidRPr="00123A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5A249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815920" w:rsidRPr="00123A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рішення може бути </w:t>
            </w:r>
            <w:r w:rsidR="00815920" w:rsidRPr="00123AA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прийнято, якщо це не суперечить суспільним інтересам</w:t>
            </w:r>
            <w:r w:rsidR="005A249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15920" w:rsidRPr="00123AA9">
              <w:rPr>
                <w:rFonts w:ascii="Times New Roman" w:hAnsi="Times New Roman" w:cs="Times New Roman"/>
                <w:bCs/>
                <w:sz w:val="24"/>
                <w:szCs w:val="24"/>
              </w:rPr>
              <w:t>..</w:t>
            </w:r>
            <w:r w:rsidR="00123AA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123AA9" w:rsidRPr="00123AA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815920" w:rsidRPr="00123A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23AA9" w:rsidRPr="00123A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«протягом», «не пізніше», «за умов», «за обставин», «якщо... то», «спільним рішенням», «погодження», «візування», «як виняток», «у виключних (виняткових) випадках», «за наявності поважних причин», «рішення може бути прийнято, якщо це не суперечить суспільним інтересам» </w:t>
            </w:r>
            <w:r w:rsidR="00815920" w:rsidRPr="00123AA9">
              <w:rPr>
                <w:rFonts w:ascii="Times New Roman" w:hAnsi="Times New Roman" w:cs="Times New Roman"/>
                <w:bCs/>
                <w:sz w:val="24"/>
                <w:szCs w:val="24"/>
              </w:rPr>
              <w:t>тощо</w:t>
            </w:r>
          </w:p>
          <w:p w14:paraId="536BB320" w14:textId="77777777" w:rsidR="00E4145A" w:rsidRPr="00CA6386" w:rsidRDefault="00E4145A" w:rsidP="006D5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91"/>
            <w:bookmarkStart w:id="3" w:name="n92"/>
            <w:bookmarkStart w:id="4" w:name="n93"/>
            <w:bookmarkEnd w:id="2"/>
            <w:bookmarkEnd w:id="3"/>
            <w:bookmarkEnd w:id="4"/>
          </w:p>
        </w:tc>
        <w:tc>
          <w:tcPr>
            <w:tcW w:w="3150" w:type="dxa"/>
            <w:shd w:val="clear" w:color="auto" w:fill="FFF2CC" w:themeFill="accent4" w:themeFillTint="33"/>
          </w:tcPr>
          <w:p w14:paraId="65C3A56B" w14:textId="091E0594" w:rsidR="00F34C8F" w:rsidRPr="000F227B" w:rsidRDefault="00F34C8F" w:rsidP="00F34C8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22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Наявність дискреційних повноважень не є ознакою корупціогенності нормативного </w:t>
            </w:r>
            <w:r w:rsidR="005A2492" w:rsidRPr="000F227B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</w:t>
            </w:r>
            <w:r w:rsidR="005A249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5A2492" w:rsidRPr="000F2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2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 його проекту, однак залежно від відносин, що врегульовуються, </w:t>
            </w:r>
            <w:r w:rsidRPr="000F22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дискреційні повноваження можуть </w:t>
            </w:r>
            <w:r w:rsidR="005A2492">
              <w:rPr>
                <w:rFonts w:ascii="Times New Roman" w:hAnsi="Times New Roman" w:cs="Times New Roman"/>
                <w:bCs/>
                <w:sz w:val="24"/>
                <w:szCs w:val="24"/>
              </w:rPr>
              <w:t>істотн</w:t>
            </w:r>
            <w:r w:rsidR="005A2492" w:rsidRPr="000F2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</w:t>
            </w:r>
            <w:r w:rsidRPr="000F2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підвищувати можливості </w:t>
            </w:r>
            <w:r w:rsidR="0097687B" w:rsidRPr="000F227B">
              <w:rPr>
                <w:rFonts w:ascii="Times New Roman" w:hAnsi="Times New Roman" w:cs="Times New Roman"/>
                <w:bCs/>
                <w:sz w:val="24"/>
                <w:szCs w:val="24"/>
              </w:rPr>
              <w:t>суб</w:t>
            </w:r>
            <w:r w:rsidR="0097687B">
              <w:rPr>
                <w:rFonts w:ascii="Times New Roman" w:hAnsi="Times New Roman" w:cs="Times New Roman"/>
                <w:bCs/>
                <w:sz w:val="24"/>
                <w:szCs w:val="24"/>
              </w:rPr>
              <w:t>’</w:t>
            </w:r>
            <w:r w:rsidR="0097687B" w:rsidRPr="000F2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єктивного </w:t>
            </w:r>
            <w:r w:rsidRPr="000F227B">
              <w:rPr>
                <w:rFonts w:ascii="Times New Roman" w:hAnsi="Times New Roman" w:cs="Times New Roman"/>
                <w:bCs/>
                <w:sz w:val="24"/>
                <w:szCs w:val="24"/>
              </w:rPr>
              <w:t>впливу посадової особи на рішення, що приймається, створюючи таким чином умови для корупційних зловживань.</w:t>
            </w:r>
            <w:r w:rsidR="00F50E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Зокрема</w:t>
            </w:r>
            <w:r w:rsidR="0097687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F50E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створюються умови для вимагання та отримання неправомірної вигоди, одержання заборонених подарунків, вчинення дій в умовах реального конфлікту інтересів</w:t>
            </w:r>
          </w:p>
          <w:p w14:paraId="1DADEF10" w14:textId="77777777" w:rsidR="00E4145A" w:rsidRPr="000F227B" w:rsidRDefault="00E41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FFF2CC" w:themeFill="accent4" w:themeFillTint="33"/>
          </w:tcPr>
          <w:p w14:paraId="34B8EF96" w14:textId="76FB08DB" w:rsidR="00947961" w:rsidRPr="00934143" w:rsidRDefault="00F8173E" w:rsidP="0093414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Уведення</w:t>
            </w:r>
            <w:r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норм, що </w:t>
            </w:r>
            <w:r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змогу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визначити </w:t>
            </w:r>
            <w:r w:rsidR="00A43D3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осіб,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відповідальних за виконання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певної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державної функції або надання адміністративної послуги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5CC1EDE" w14:textId="63AB9E0C" w:rsidR="00947961" w:rsidRPr="00934143" w:rsidRDefault="00F8173E" w:rsidP="0093414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5" w:name="n168"/>
            <w:bookmarkEnd w:id="5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</w:t>
            </w:r>
            <w:r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становлення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>додаткових заборон, обмежень чи обов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’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>язків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2C8E829" w14:textId="7386D129" w:rsidR="00947961" w:rsidRPr="00934143" w:rsidRDefault="00F8173E" w:rsidP="0093414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6" w:name="n169"/>
            <w:bookmarkEnd w:id="6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ведення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>додаткових критеріїв оцінки якості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ефективності і результативності службової діяльності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07F71F8" w14:textId="7567D24A" w:rsidR="00947961" w:rsidRPr="00934143" w:rsidRDefault="00F8173E" w:rsidP="0093414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7" w:name="n170"/>
            <w:bookmarkEnd w:id="7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точнення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>обсягу службової діяльності конкретних</w:t>
            </w:r>
            <w:r w:rsidR="000144E6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посадових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осіб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4440159" w14:textId="093E355E" w:rsidR="00947961" w:rsidRPr="00934143" w:rsidRDefault="00F8173E" w:rsidP="0093414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8" w:name="n171"/>
            <w:bookmarkEnd w:id="8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становлення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>додаткових механізмів взаємодії</w:t>
            </w:r>
            <w:r w:rsidR="000144E6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посадових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осіб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FF48D65" w14:textId="254A2958" w:rsidR="00947961" w:rsidRPr="00934143" w:rsidRDefault="00F8173E" w:rsidP="0093414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9" w:name="n172"/>
            <w:bookmarkStart w:id="10" w:name="n184"/>
            <w:bookmarkEnd w:id="9"/>
            <w:bookmarkEnd w:id="1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ведення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>нових або доповнення існуючих форм обліку рішень, які приймаються на власний розсуд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3E14244" w14:textId="6EB5B589" w:rsidR="00947961" w:rsidRPr="00934143" w:rsidRDefault="00F8173E" w:rsidP="0093414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1" w:name="n185"/>
            <w:bookmarkEnd w:id="11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ередача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>дискреційного повноваження на більш високий управлінський рівень або його закріплення в акті, який має вищу юридичну силу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3B81E18" w14:textId="0A07A036" w:rsidR="00947961" w:rsidRPr="00934143" w:rsidRDefault="00F8173E" w:rsidP="0093414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2" w:name="n186"/>
            <w:bookmarkEnd w:id="12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ведення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процедури погодження застосування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дискреційного повноваження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9674E11" w14:textId="47C7E084" w:rsidR="00947961" w:rsidRPr="00934143" w:rsidRDefault="00F8173E" w:rsidP="0093414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3" w:name="n187"/>
            <w:bookmarkEnd w:id="13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аділення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>фізичних та юридичних осіб додатковими процесуальними гарантіями щодо оскарження дій чи рішень, прийнятих із застосуванням дискреційних повноважень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B2AC9BA" w14:textId="5CB2FDF7" w:rsidR="00947961" w:rsidRPr="00934143" w:rsidRDefault="00F8173E" w:rsidP="0093414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4" w:name="n188"/>
            <w:bookmarkEnd w:id="14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озширення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>можливостей громадського контролю за застосуванням дискреційних повноважень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389BF75" w14:textId="156AC92D" w:rsidR="00947961" w:rsidRPr="00934143" w:rsidRDefault="00F8173E" w:rsidP="0093414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апровадження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процедури оскарження рішень, дій або бездіяльності, які приймаються та/або здійснюються в межах дискреційних повноважень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682D202" w14:textId="24178890" w:rsidR="00E4145A" w:rsidRPr="00CA6386" w:rsidRDefault="00F8173E" w:rsidP="00F8173E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r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нші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заходи, що </w:t>
            </w:r>
            <w:r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змогу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знизити ризик виникнення корупційних відносин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наслідок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неналежного визначення функцій, 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’</w:t>
            </w:r>
            <w:r w:rsidR="00947961" w:rsidRPr="00934143">
              <w:rPr>
                <w:rFonts w:ascii="Times New Roman" w:hAnsi="Times New Roman" w:cs="Times New Roman"/>
                <w:bCs/>
                <w:sz w:val="24"/>
                <w:szCs w:val="24"/>
              </w:rPr>
              <w:t>язків, прав і відповідальності осіб, уповноважених на виконання функцій держави або місцевого самоврядування</w:t>
            </w:r>
          </w:p>
        </w:tc>
      </w:tr>
      <w:tr w:rsidR="00DB111E" w:rsidRPr="00CA6386" w14:paraId="288BDE37" w14:textId="77777777" w:rsidTr="00630BED">
        <w:tc>
          <w:tcPr>
            <w:tcW w:w="985" w:type="dxa"/>
            <w:shd w:val="clear" w:color="auto" w:fill="D9E2F3" w:themeFill="accent1" w:themeFillTint="33"/>
          </w:tcPr>
          <w:p w14:paraId="693ABE4F" w14:textId="02AF7DF2" w:rsidR="00E4145A" w:rsidRPr="009C5C7C" w:rsidRDefault="009C5C7C" w:rsidP="006A2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2885" w:type="dxa"/>
            <w:shd w:val="clear" w:color="auto" w:fill="D9E2F3" w:themeFill="accent1" w:themeFillTint="33"/>
          </w:tcPr>
          <w:p w14:paraId="0DA3D82F" w14:textId="77777777" w:rsidR="00E4145A" w:rsidRPr="002F4E08" w:rsidRDefault="00CA6386" w:rsidP="00CA6386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E54">
              <w:rPr>
                <w:rFonts w:ascii="Times New Roman" w:hAnsi="Times New Roman" w:cs="Times New Roman"/>
                <w:b/>
                <w:sz w:val="24"/>
                <w:szCs w:val="24"/>
              </w:rPr>
              <w:t>Відсутн</w:t>
            </w:r>
            <w:r w:rsidRPr="002F4E08">
              <w:rPr>
                <w:rFonts w:ascii="Times New Roman" w:hAnsi="Times New Roman" w:cs="Times New Roman"/>
                <w:b/>
                <w:sz w:val="24"/>
                <w:szCs w:val="24"/>
              </w:rPr>
              <w:t>ість чи недоліки конкурсних (тендерних) процедур</w:t>
            </w:r>
          </w:p>
        </w:tc>
        <w:tc>
          <w:tcPr>
            <w:tcW w:w="4590" w:type="dxa"/>
            <w:shd w:val="clear" w:color="auto" w:fill="D9E2F3" w:themeFill="accent1" w:themeFillTint="33"/>
          </w:tcPr>
          <w:p w14:paraId="7ABC732F" w14:textId="2E8ECE27" w:rsidR="00063B3D" w:rsidRDefault="00063B3D" w:rsidP="002F4E08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B3D">
              <w:rPr>
                <w:rFonts w:ascii="Times New Roman" w:hAnsi="Times New Roman" w:cs="Times New Roman"/>
                <w:bCs/>
                <w:sz w:val="24"/>
                <w:szCs w:val="24"/>
              </w:rPr>
              <w:t>Відсутність юридичних, організаційних та інформаційних гарантій, що забезпечують правильне визначення вартості майна або майнового права, що виставляється на конкурс (тендер)</w:t>
            </w:r>
            <w:r w:rsidRPr="00063B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14:paraId="61A943BC" w14:textId="6189B39D" w:rsidR="002F4E08" w:rsidRPr="0080599F" w:rsidRDefault="00FC6E54" w:rsidP="002F4E08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изький 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рівень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інформованості потенційних учасників про проведення конкурсу (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тендер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через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використання недостатньо ефективних засобів розповсюдження інформації або </w:t>
            </w:r>
            <w:r w:rsidR="00D5065A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неповнот</w:t>
            </w:r>
            <w:r w:rsidR="00D5065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D5065A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розповсюдження інформації</w:t>
            </w:r>
            <w:r w:rsidR="00D5065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5987A22" w14:textId="670042FE" w:rsidR="002F4E08" w:rsidRPr="0080599F" w:rsidRDefault="00D5065A" w:rsidP="002F4E08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5" w:name="n381"/>
            <w:bookmarkEnd w:id="15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асові 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обмеження між повідомленням і закінченням строку подачі заявок на участь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конкурсі (тендері) для здійснення 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відповідних дій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5924757" w14:textId="55E7B5DD" w:rsidR="002F4E08" w:rsidRPr="0080599F" w:rsidRDefault="00D5065A" w:rsidP="002F4E08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6" w:name="n382"/>
            <w:bookmarkEnd w:id="16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еобґрунтованість 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застосування закритого порядку проведення конкурсу (</w:t>
            </w:r>
            <w:r w:rsidR="00BE7AB1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тендер</w:t>
            </w:r>
            <w:r w:rsidR="00BE7AB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BE7AB1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BE7AB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7C7980A" w14:textId="038CA40E" w:rsidR="002F4E08" w:rsidRPr="0080599F" w:rsidRDefault="00BE7AB1" w:rsidP="002F4E08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7" w:name="n383"/>
            <w:bookmarkEnd w:id="17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авищені 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вимоги до потенційних учасників конкурсу (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тендер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F20A3C1" w14:textId="147D5A22" w:rsidR="002F4E08" w:rsidRPr="0080599F" w:rsidRDefault="00BE7AB1" w:rsidP="002F4E08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8" w:name="n384"/>
            <w:bookmarkEnd w:id="18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становлення 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необґрунтованих обмежень на участь у проведенні конкурсу (</w:t>
            </w:r>
            <w:r w:rsidR="00D168AB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тендер</w:t>
            </w:r>
            <w:r w:rsidR="00D168A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) незалежних спостерігачів, включаючи засоби масової інформації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2370113" w14:textId="0FB77CEB" w:rsidR="002F4E08" w:rsidRPr="0080599F" w:rsidRDefault="00D168AB" w:rsidP="002F4E08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9" w:name="n386"/>
            <w:bookmarkEnd w:id="19"/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ерозкриття</w:t>
            </w:r>
            <w:proofErr w:type="spellEnd"/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інформації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процедурі проведення конкурсу (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тендер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) про учасників конкурсу (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тендер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) і склад конкурсної (тендерної) комісії</w:t>
            </w:r>
            <w:bookmarkStart w:id="20" w:name="n387"/>
            <w:bookmarkEnd w:id="2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3310734" w14:textId="224B2291" w:rsidR="002F4E08" w:rsidRPr="0080599F" w:rsidRDefault="00D168AB" w:rsidP="002F4E08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ідсутність 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формальних, тобто тих, що піддаються зовнішній незалежній перевірці, критеріїв обрання найкращої пропозиції учасників конкурсу (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тендер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AEE0C71" w14:textId="7CFCFB02" w:rsidR="002F4E08" w:rsidRPr="0080599F" w:rsidRDefault="00D168AB" w:rsidP="002F4E08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елегування 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певних повноважень суб’єктам приватного права є у цілому обґрунтованим, але проект нормативного 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нечітко визначає вимоги до суб’єктів приватного права, на користь яких здійснюється таке делегування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9600785" w14:textId="186BC223" w:rsidR="002F4E08" w:rsidRPr="0080599F" w:rsidRDefault="00D168AB" w:rsidP="002F4E08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аділення 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посадових осіб повноваженнями щодо інформування не всіх учасників 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конкурсу (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тендер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) про його проведення, обмеження у часі строку подачі заявки, застосування закритого порядку проведення конкурсу</w:t>
            </w:r>
            <w:r w:rsidR="0094357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4357D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40D5A31" w14:textId="13156894" w:rsidR="002F4E08" w:rsidRPr="0080599F" w:rsidRDefault="0094357D" w:rsidP="002F4E08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роведення 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конкурсу без зовнішнього контролю, зокрема з боку незалежних спостерігачів або засобів масової інформації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F49CF09" w14:textId="204B7505" w:rsidR="002F4E08" w:rsidRPr="0080599F" w:rsidRDefault="0094357D" w:rsidP="002F4E08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розкриття</w:t>
            </w:r>
            <w:proofErr w:type="spellEnd"/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інформації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процедурі проведення конкурсу (</w:t>
            </w:r>
            <w:r w:rsidR="00307099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тендер</w:t>
            </w:r>
            <w:r w:rsidR="0030709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) про учасників конкурсу (</w:t>
            </w:r>
            <w:r w:rsidR="00307099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тендер</w:t>
            </w:r>
            <w:r w:rsidR="0030709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F4E08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) та склад конкурсної (тендерної) комісії.</w:t>
            </w:r>
          </w:p>
          <w:p w14:paraId="3D985FD1" w14:textId="09D51411" w:rsidR="00E4145A" w:rsidRPr="005D723B" w:rsidRDefault="005D723B" w:rsidP="0030709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23B">
              <w:rPr>
                <w:rFonts w:ascii="Times New Roman" w:hAnsi="Times New Roman" w:cs="Times New Roman"/>
                <w:b/>
                <w:sz w:val="24"/>
                <w:szCs w:val="24"/>
              </w:rPr>
              <w:t>Ключові слова:</w:t>
            </w:r>
            <w:r w:rsidRPr="005D72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«порядок», «процедура», «конкурс», «аукціон», «торг», «тендер», «закупівля»</w:t>
            </w:r>
          </w:p>
        </w:tc>
        <w:tc>
          <w:tcPr>
            <w:tcW w:w="3150" w:type="dxa"/>
            <w:shd w:val="clear" w:color="auto" w:fill="D9E2F3" w:themeFill="accent1" w:themeFillTint="33"/>
          </w:tcPr>
          <w:p w14:paraId="19A09CB6" w14:textId="31711510" w:rsidR="001A2CCD" w:rsidRPr="001A2CCD" w:rsidRDefault="001A2CCD" w:rsidP="001A2CC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Відсутність у проекті нормативного </w:t>
            </w:r>
            <w:r w:rsidR="00307099"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</w:t>
            </w:r>
            <w:r w:rsidR="0030709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307099"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конкурсних (тендерних) процедур, якщо зміст </w:t>
            </w:r>
            <w:r w:rsidR="00307099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r w:rsidR="00307099"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 нормативного </w:t>
            </w:r>
            <w:r w:rsidR="00307099"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</w:t>
            </w:r>
            <w:r w:rsidR="0030709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307099"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t>чи його проекту або пов’язан</w:t>
            </w:r>
            <w:r w:rsidR="00BB2818">
              <w:rPr>
                <w:rFonts w:ascii="Times New Roman" w:hAnsi="Times New Roman" w:cs="Times New Roman"/>
                <w:bCs/>
                <w:sz w:val="24"/>
                <w:szCs w:val="24"/>
              </w:rPr>
              <w:t>их</w:t>
            </w:r>
            <w:r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 ним</w:t>
            </w:r>
            <w:r w:rsidR="00BB281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нормативно</w:t>
            </w:r>
            <w:r w:rsidR="0030709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t>правови</w:t>
            </w:r>
            <w:r w:rsidR="00BB28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 </w:t>
            </w:r>
            <w:r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t>акт</w:t>
            </w:r>
            <w:r w:rsidR="00BB2818">
              <w:rPr>
                <w:rFonts w:ascii="Times New Roman" w:hAnsi="Times New Roman" w:cs="Times New Roman"/>
                <w:bCs/>
                <w:sz w:val="24"/>
                <w:szCs w:val="24"/>
              </w:rPr>
              <w:t>ів</w:t>
            </w:r>
            <w:r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передбачає врегулювання таких процедур</w:t>
            </w:r>
            <w:r w:rsidR="009857A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або наявність недоліків установленої конкурсної (тендерної) процедури, </w:t>
            </w:r>
            <w:r w:rsidR="009857A2">
              <w:rPr>
                <w:rFonts w:ascii="Times New Roman" w:hAnsi="Times New Roman" w:cs="Times New Roman"/>
                <w:bCs/>
                <w:sz w:val="24"/>
                <w:szCs w:val="24"/>
              </w:rPr>
              <w:t>які</w:t>
            </w:r>
            <w:r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здатні створювати умови для здійснення корупційних дій або виникнення корупційних відносин. </w:t>
            </w:r>
            <w:r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Зокрема</w:t>
            </w:r>
            <w:r w:rsidR="001451C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A2C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може привести до вчинення дій в умовах реального конфлікту інтересів, вимагання та отримання неправомірної вигоди </w:t>
            </w:r>
          </w:p>
          <w:p w14:paraId="41A8A60B" w14:textId="77777777" w:rsidR="00E4145A" w:rsidRPr="00CA6386" w:rsidRDefault="00E41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D9E2F3" w:themeFill="accent1" w:themeFillTint="33"/>
          </w:tcPr>
          <w:p w14:paraId="7DF6C91C" w14:textId="773DB1B6" w:rsidR="007C5814" w:rsidRPr="0080599F" w:rsidRDefault="006802A7" w:rsidP="007C5814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астосування об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’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єктивного </w:t>
            </w:r>
            <w:r w:rsidR="007C5814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(незалежного) визначення вартості переданого за результатами конкурсу (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тендер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7C5814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) майна або майнових прав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7F8E448F" w14:textId="5BBA4E6D" w:rsidR="007C5814" w:rsidRPr="0080599F" w:rsidRDefault="006802A7" w:rsidP="007C5814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абезпечення </w:t>
            </w:r>
            <w:r w:rsidR="007C5814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належного інформування про проведення конкурсу (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тендер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FE918DD" w14:textId="0E8E9458" w:rsidR="007C5814" w:rsidRPr="0080599F" w:rsidRDefault="006802A7" w:rsidP="007C5814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абезпечення </w:t>
            </w:r>
            <w:r w:rsidR="007C5814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рівного процесуального статусу учасників конкурсної (тендерної) процедури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C6B93F3" w14:textId="03D60ED2" w:rsidR="007C5814" w:rsidRPr="0080599F" w:rsidRDefault="006802A7" w:rsidP="007C5814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міни </w:t>
            </w:r>
            <w:r w:rsidR="007C5814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 </w:t>
            </w:r>
            <w:r w:rsidR="007C5814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проведення конкурсу (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тендер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617BDEC" w14:textId="062FABAE" w:rsidR="007C5814" w:rsidRPr="0080599F" w:rsidRDefault="006802A7" w:rsidP="007C5814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иключення </w:t>
            </w:r>
            <w:r w:rsidR="007C5814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завищених вимог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7DDEF43" w14:textId="03A12911" w:rsidR="007C5814" w:rsidRPr="0080599F" w:rsidRDefault="006802A7" w:rsidP="007C5814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становлення </w:t>
            </w:r>
            <w:r w:rsidR="007C5814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належних умов оприлюднення інформації про всіх учасників конкурсу (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тендер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7C5814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) і про його результати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8309FBA" w14:textId="1D0EE0E8" w:rsidR="007C5814" w:rsidRPr="007C5814" w:rsidRDefault="006802A7" w:rsidP="007C5814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иключення </w:t>
            </w:r>
            <w:r w:rsidR="007C5814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конфлікту інтересів членів конкурсних (тендерних) комісій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C6C79DD" w14:textId="412CA85E" w:rsidR="00E4145A" w:rsidRPr="007C5814" w:rsidRDefault="006802A7" w:rsidP="006802A7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ведення </w:t>
            </w:r>
            <w:r w:rsidR="007C5814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формалізованих критеріїв визначення переможця конкурсу (</w:t>
            </w:r>
            <w:r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тендер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7C5814" w:rsidRPr="0080599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6002D4" w:rsidRPr="00CA6386" w14:paraId="271054D9" w14:textId="77777777" w:rsidTr="00630BED">
        <w:tc>
          <w:tcPr>
            <w:tcW w:w="985" w:type="dxa"/>
            <w:shd w:val="clear" w:color="auto" w:fill="F2F2F2" w:themeFill="background1" w:themeFillShade="F2"/>
          </w:tcPr>
          <w:p w14:paraId="18D8B009" w14:textId="2E5CB11C" w:rsidR="00A77F0B" w:rsidRPr="009C5C7C" w:rsidRDefault="009C5C7C" w:rsidP="006A2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885" w:type="dxa"/>
            <w:shd w:val="clear" w:color="auto" w:fill="F2F2F2" w:themeFill="background1" w:themeFillShade="F2"/>
          </w:tcPr>
          <w:p w14:paraId="4BE60AC2" w14:textId="6943F97C" w:rsidR="00CA6386" w:rsidRPr="00122C63" w:rsidRDefault="00F2629B" w:rsidP="00CA6386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C63">
              <w:rPr>
                <w:rFonts w:ascii="Times New Roman" w:hAnsi="Times New Roman" w:cs="Times New Roman"/>
                <w:b/>
                <w:sz w:val="24"/>
                <w:szCs w:val="24"/>
              </w:rPr>
              <w:t>Техні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чн</w:t>
            </w:r>
            <w:r w:rsidRPr="00122C6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CA6386" w:rsidRPr="00122C63">
              <w:rPr>
                <w:rFonts w:ascii="Times New Roman" w:hAnsi="Times New Roman" w:cs="Times New Roman"/>
                <w:b/>
                <w:sz w:val="24"/>
                <w:szCs w:val="24"/>
              </w:rPr>
              <w:t>-юридичні недоліки</w:t>
            </w:r>
          </w:p>
          <w:p w14:paraId="533784E0" w14:textId="77777777" w:rsidR="00A77F0B" w:rsidRPr="00CA6386" w:rsidRDefault="00A77F0B" w:rsidP="00E4145A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F2F2F2" w:themeFill="background1" w:themeFillShade="F2"/>
          </w:tcPr>
          <w:p w14:paraId="13F15B65" w14:textId="40503A3F" w:rsidR="00122C63" w:rsidRPr="00122C63" w:rsidRDefault="00DD0168" w:rsidP="00122C63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аявність </w:t>
            </w:r>
            <w:r w:rsidR="00AC2FC6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юридични</w:t>
            </w:r>
            <w:r w:rsidR="00AC2FC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="00AC2FC6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колізій нормативних приписів, що містяться в одному нормативно-правовому акті або в різних нормативно-правових актах, у тому числі невідповідність змісту нормативних приписів нормативно-правового </w:t>
            </w:r>
            <w:proofErr w:type="spellStart"/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акт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proofErr w:type="spellEnd"/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проекту нормативно-правового </w:t>
            </w:r>
            <w:proofErr w:type="spellStart"/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акт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proofErr w:type="spellEnd"/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положенням нормативно-правового </w:t>
            </w:r>
            <w:proofErr w:type="spellStart"/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акт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proofErr w:type="spellEnd"/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, який має вищу юридичну силу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D4BF940" w14:textId="75160FEE" w:rsidR="00122C63" w:rsidRPr="00122C63" w:rsidRDefault="00DD0168" w:rsidP="00122C63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озроб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лення</w:t>
            </w:r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проекту нормативно-</w:t>
            </w:r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правового </w:t>
            </w:r>
            <w:proofErr w:type="spellStart"/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акт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proofErr w:type="spellEnd"/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видання (прийняття) нормативно-правового </w:t>
            </w:r>
            <w:proofErr w:type="spellStart"/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акт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proofErr w:type="spellEnd"/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органом (особою, уповноваженою на виконання функцій держави або місцевого самоврядування) з перевищенням своєї компетенції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6A5D1A2" w14:textId="7A4D71BE" w:rsidR="00122C63" w:rsidRPr="00122C63" w:rsidRDefault="00DA54DA" w:rsidP="00122C63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орушення </w:t>
            </w:r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встановленої форми нормативно-правового </w:t>
            </w:r>
            <w:proofErr w:type="spellStart"/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акт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proofErr w:type="spellEnd"/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проекту нормативно-правового </w:t>
            </w:r>
            <w:proofErr w:type="spellStart"/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акт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2681556" w14:textId="223A9D8C" w:rsidR="00122C63" w:rsidRPr="00122C63" w:rsidRDefault="00DA54DA" w:rsidP="00122C63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орушення </w:t>
            </w:r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вимог </w:t>
            </w:r>
            <w:proofErr w:type="spellStart"/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нормопроектувальної</w:t>
            </w:r>
            <w:proofErr w:type="spellEnd"/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техніки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E0743C8" w14:textId="07B0F086" w:rsidR="00122C63" w:rsidRPr="00122C63" w:rsidRDefault="00DA54DA" w:rsidP="00122C63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ехнічні </w:t>
            </w:r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помилки в тексті, </w:t>
            </w:r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пропу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ски</w:t>
            </w:r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слів, прогалини у тексті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7C02AB1" w14:textId="0DB3F49F" w:rsidR="00122C63" w:rsidRPr="00122C63" w:rsidRDefault="00DA54DA" w:rsidP="00122C63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раматичні </w:t>
            </w:r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та синтаксичні помилки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232BCBE" w14:textId="4BBC36C7" w:rsidR="00122C63" w:rsidRPr="00122C63" w:rsidRDefault="00DA54DA" w:rsidP="00122C63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живання </w:t>
            </w:r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не передбачених законодавством термінів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F7F82D6" w14:textId="025D3BEF" w:rsidR="00122C63" w:rsidRPr="00122C63" w:rsidRDefault="00DA54DA" w:rsidP="00122C63">
            <w:pPr>
              <w:pStyle w:val="a3"/>
              <w:numPr>
                <w:ilvl w:val="0"/>
                <w:numId w:val="9"/>
              </w:numPr>
              <w:spacing w:after="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овна</w:t>
            </w:r>
            <w:proofErr w:type="spellEnd"/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22C63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неоднозначність (двозначність)</w:t>
            </w:r>
          </w:p>
          <w:p w14:paraId="09CB4655" w14:textId="77777777" w:rsidR="00A77F0B" w:rsidRPr="00CA6386" w:rsidRDefault="00A77F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F2F2F2" w:themeFill="background1" w:themeFillShade="F2"/>
          </w:tcPr>
          <w:p w14:paraId="5655D55D" w14:textId="653AB553" w:rsidR="001E31EB" w:rsidRPr="001E31EB" w:rsidRDefault="001E31EB" w:rsidP="001E31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Створюють можливість різного тлумачення нормативних положень, фактично створюють або розширюють </w:t>
            </w:r>
            <w:proofErr w:type="spellStart"/>
            <w:r w:rsidRPr="001E31EB">
              <w:rPr>
                <w:rFonts w:ascii="Times New Roman" w:hAnsi="Times New Roman" w:cs="Times New Roman"/>
                <w:sz w:val="24"/>
                <w:szCs w:val="24"/>
              </w:rPr>
              <w:t>дискрецію</w:t>
            </w:r>
            <w:proofErr w:type="spellEnd"/>
            <w:r w:rsidRPr="001E31EB">
              <w:rPr>
                <w:rFonts w:ascii="Times New Roman" w:hAnsi="Times New Roman" w:cs="Times New Roman"/>
                <w:sz w:val="24"/>
                <w:szCs w:val="24"/>
              </w:rPr>
              <w:t xml:space="preserve"> і можуть бути використані для вчинення корупційних або </w:t>
            </w:r>
            <w:r w:rsidR="00DD0168" w:rsidRPr="001E31EB"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r w:rsidR="00DD016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DD0168" w:rsidRPr="001E31EB">
              <w:rPr>
                <w:rFonts w:ascii="Times New Roman" w:hAnsi="Times New Roman" w:cs="Times New Roman"/>
                <w:sz w:val="24"/>
                <w:szCs w:val="24"/>
              </w:rPr>
              <w:t xml:space="preserve">язаних </w:t>
            </w:r>
            <w:r w:rsidRPr="001E31EB">
              <w:rPr>
                <w:rFonts w:ascii="Times New Roman" w:hAnsi="Times New Roman" w:cs="Times New Roman"/>
                <w:sz w:val="24"/>
                <w:szCs w:val="24"/>
              </w:rPr>
              <w:t xml:space="preserve">з корупцією правопорушень </w:t>
            </w:r>
          </w:p>
          <w:p w14:paraId="35E72A40" w14:textId="77777777" w:rsidR="00A77F0B" w:rsidRPr="00CA6386" w:rsidRDefault="00A77F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F2F2F2" w:themeFill="background1" w:themeFillShade="F2"/>
          </w:tcPr>
          <w:p w14:paraId="004CAE73" w14:textId="77777777" w:rsidR="00122C63" w:rsidRPr="00122C63" w:rsidRDefault="00122C63" w:rsidP="00122C6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Виправлення помилок</w:t>
            </w:r>
            <w:r w:rsidR="00AC2FC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8CD130C" w14:textId="4625F0F5" w:rsidR="00122C63" w:rsidRPr="00122C63" w:rsidRDefault="00122C63" w:rsidP="00122C63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Пропозиція щодо неприйняття або незатвердження нормативного </w:t>
            </w:r>
            <w:r w:rsidR="002031F6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</w:t>
            </w:r>
            <w:r w:rsidR="002031F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031F6"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випадках, коли він був ініційований неналежною особою, має невстановлену форму або був розроблений з порушеннями </w:t>
            </w:r>
            <w:proofErr w:type="spellStart"/>
            <w:r w:rsidRPr="00DA54DA">
              <w:rPr>
                <w:rFonts w:ascii="Times New Roman" w:hAnsi="Times New Roman" w:cs="Times New Roman"/>
                <w:bCs/>
                <w:sz w:val="24"/>
                <w:szCs w:val="24"/>
              </w:rPr>
              <w:t>нормопр</w:t>
            </w:r>
            <w:r w:rsidR="00DA54DA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DA54DA">
              <w:rPr>
                <w:rFonts w:ascii="Times New Roman" w:hAnsi="Times New Roman" w:cs="Times New Roman"/>
                <w:bCs/>
                <w:sz w:val="24"/>
                <w:szCs w:val="24"/>
              </w:rPr>
              <w:t>екту</w:t>
            </w:r>
            <w:r w:rsidR="00DA54DA" w:rsidRPr="00630BE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DA54DA">
              <w:rPr>
                <w:rFonts w:ascii="Times New Roman" w:hAnsi="Times New Roman" w:cs="Times New Roman"/>
                <w:bCs/>
                <w:sz w:val="24"/>
                <w:szCs w:val="24"/>
              </w:rPr>
              <w:t>альної</w:t>
            </w:r>
            <w:proofErr w:type="spellEnd"/>
            <w:r w:rsidRPr="00DA5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A54D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техніки</w:t>
            </w:r>
            <w:r w:rsidRPr="00122C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E607FB7" w14:textId="77777777" w:rsidR="00A77F0B" w:rsidRPr="00CA6386" w:rsidRDefault="00A77F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93CBCD" w14:textId="77777777" w:rsidR="004F191A" w:rsidRPr="00CA6386" w:rsidRDefault="004F191A">
      <w:pPr>
        <w:rPr>
          <w:rFonts w:ascii="Times New Roman" w:hAnsi="Times New Roman" w:cs="Times New Roman"/>
          <w:sz w:val="24"/>
          <w:szCs w:val="24"/>
        </w:rPr>
      </w:pPr>
    </w:p>
    <w:sectPr w:rsidR="004F191A" w:rsidRPr="00CA6386" w:rsidSect="004F191A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BD4857" w14:textId="77777777" w:rsidR="00812443" w:rsidRDefault="00812443" w:rsidP="00A913BB">
      <w:pPr>
        <w:spacing w:after="0" w:line="240" w:lineRule="auto"/>
      </w:pPr>
      <w:r>
        <w:separator/>
      </w:r>
    </w:p>
  </w:endnote>
  <w:endnote w:type="continuationSeparator" w:id="0">
    <w:p w14:paraId="735E762D" w14:textId="77777777" w:rsidR="00812443" w:rsidRDefault="00812443" w:rsidP="00A91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C06976" w14:textId="77777777" w:rsidR="00812443" w:rsidRDefault="00812443" w:rsidP="00A913BB">
      <w:pPr>
        <w:spacing w:after="0" w:line="240" w:lineRule="auto"/>
      </w:pPr>
      <w:r>
        <w:separator/>
      </w:r>
    </w:p>
  </w:footnote>
  <w:footnote w:type="continuationSeparator" w:id="0">
    <w:p w14:paraId="71B00BC6" w14:textId="77777777" w:rsidR="00812443" w:rsidRDefault="00812443" w:rsidP="00A91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FCBFD" w14:textId="124613DB" w:rsidR="00A913BB" w:rsidRPr="00E96961" w:rsidRDefault="00E96961" w:rsidP="0030737E">
    <w:pPr>
      <w:pStyle w:val="a7"/>
      <w:rPr>
        <w:lang w:val="ru-RU"/>
      </w:rPr>
    </w:pPr>
    <w:proofErr w:type="spellStart"/>
    <w:r>
      <w:rPr>
        <w:lang w:val="ru-RU"/>
      </w:rPr>
      <w:t>Додаток</w:t>
    </w:r>
    <w:proofErr w:type="spellEnd"/>
    <w:r>
      <w:rPr>
        <w:lang w:val="ru-RU"/>
      </w:rPr>
      <w:t xml:space="preserve"> 3</w:t>
    </w:r>
  </w:p>
  <w:p w14:paraId="5AF995AA" w14:textId="77777777" w:rsidR="0030737E" w:rsidRPr="0030737E" w:rsidRDefault="0030737E" w:rsidP="0030737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155E5"/>
    <w:multiLevelType w:val="hybridMultilevel"/>
    <w:tmpl w:val="05945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50236"/>
    <w:multiLevelType w:val="hybridMultilevel"/>
    <w:tmpl w:val="DC065D56"/>
    <w:lvl w:ilvl="0" w:tplc="9CCA83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EAA230">
      <w:start w:val="270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2E305E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D41490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E052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4FE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2C1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A0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CAD2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0E006A3"/>
    <w:multiLevelType w:val="hybridMultilevel"/>
    <w:tmpl w:val="723CF2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B1D70"/>
    <w:multiLevelType w:val="hybridMultilevel"/>
    <w:tmpl w:val="F17A5E84"/>
    <w:lvl w:ilvl="0" w:tplc="002E305E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292B8B"/>
    <w:multiLevelType w:val="hybridMultilevel"/>
    <w:tmpl w:val="6B0AD9D2"/>
    <w:lvl w:ilvl="0" w:tplc="0DBE73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966436">
      <w:start w:val="270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A28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E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4C65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2FD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96C9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16BF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54E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A417287"/>
    <w:multiLevelType w:val="hybridMultilevel"/>
    <w:tmpl w:val="F2E4A6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956D34"/>
    <w:multiLevelType w:val="hybridMultilevel"/>
    <w:tmpl w:val="7472A1C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ADE7B1B"/>
    <w:multiLevelType w:val="hybridMultilevel"/>
    <w:tmpl w:val="1FAEC7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32119C"/>
    <w:multiLevelType w:val="hybridMultilevel"/>
    <w:tmpl w:val="92D445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626F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7047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7CD1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649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6ED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70F1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741C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1620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6EC7387"/>
    <w:multiLevelType w:val="hybridMultilevel"/>
    <w:tmpl w:val="8A78A684"/>
    <w:lvl w:ilvl="0" w:tplc="C2C24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629A32">
      <w:start w:val="270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F2DA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003F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CE18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EE78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B2B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FC87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4A26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E977E53"/>
    <w:multiLevelType w:val="hybridMultilevel"/>
    <w:tmpl w:val="2C4A8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C52D33"/>
    <w:multiLevelType w:val="hybridMultilevel"/>
    <w:tmpl w:val="63DE97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DA607F"/>
    <w:multiLevelType w:val="hybridMultilevel"/>
    <w:tmpl w:val="B4BC10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C50B4F"/>
    <w:multiLevelType w:val="hybridMultilevel"/>
    <w:tmpl w:val="F3A6DA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6A1D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14E5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C076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6EE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54D3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2823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F4B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8ED1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E9D4E5A"/>
    <w:multiLevelType w:val="hybridMultilevel"/>
    <w:tmpl w:val="227C7A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7D7FB1"/>
    <w:multiLevelType w:val="hybridMultilevel"/>
    <w:tmpl w:val="21ECA2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FB69F2"/>
    <w:multiLevelType w:val="hybridMultilevel"/>
    <w:tmpl w:val="D6C041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7F2C66"/>
    <w:multiLevelType w:val="hybridMultilevel"/>
    <w:tmpl w:val="23D4DA2A"/>
    <w:lvl w:ilvl="0" w:tplc="002E305E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5"/>
  </w:num>
  <w:num w:numId="5">
    <w:abstractNumId w:val="1"/>
  </w:num>
  <w:num w:numId="6">
    <w:abstractNumId w:val="11"/>
  </w:num>
  <w:num w:numId="7">
    <w:abstractNumId w:val="17"/>
  </w:num>
  <w:num w:numId="8">
    <w:abstractNumId w:val="4"/>
  </w:num>
  <w:num w:numId="9">
    <w:abstractNumId w:val="15"/>
  </w:num>
  <w:num w:numId="10">
    <w:abstractNumId w:val="3"/>
  </w:num>
  <w:num w:numId="11">
    <w:abstractNumId w:val="9"/>
  </w:num>
  <w:num w:numId="12">
    <w:abstractNumId w:val="2"/>
  </w:num>
  <w:num w:numId="13">
    <w:abstractNumId w:val="7"/>
  </w:num>
  <w:num w:numId="14">
    <w:abstractNumId w:val="14"/>
  </w:num>
  <w:num w:numId="15">
    <w:abstractNumId w:val="8"/>
  </w:num>
  <w:num w:numId="16">
    <w:abstractNumId w:val="12"/>
  </w:num>
  <w:num w:numId="17">
    <w:abstractNumId w:val="1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191A"/>
    <w:rsid w:val="00001BEC"/>
    <w:rsid w:val="000144E6"/>
    <w:rsid w:val="00053DE2"/>
    <w:rsid w:val="00063B3D"/>
    <w:rsid w:val="00075444"/>
    <w:rsid w:val="00085727"/>
    <w:rsid w:val="000A5788"/>
    <w:rsid w:val="000C338C"/>
    <w:rsid w:val="000C5FB7"/>
    <w:rsid w:val="000C7E73"/>
    <w:rsid w:val="000F0A88"/>
    <w:rsid w:val="000F227B"/>
    <w:rsid w:val="00103C15"/>
    <w:rsid w:val="00104C10"/>
    <w:rsid w:val="00122C63"/>
    <w:rsid w:val="00123AA9"/>
    <w:rsid w:val="001451C8"/>
    <w:rsid w:val="0014706E"/>
    <w:rsid w:val="0016015A"/>
    <w:rsid w:val="001A2CCD"/>
    <w:rsid w:val="001A6E88"/>
    <w:rsid w:val="001B75B8"/>
    <w:rsid w:val="001E31EB"/>
    <w:rsid w:val="002031F6"/>
    <w:rsid w:val="002B06C4"/>
    <w:rsid w:val="002B7D11"/>
    <w:rsid w:val="002F0955"/>
    <w:rsid w:val="002F4E08"/>
    <w:rsid w:val="00307099"/>
    <w:rsid w:val="0030737E"/>
    <w:rsid w:val="003137DD"/>
    <w:rsid w:val="00362C01"/>
    <w:rsid w:val="0039500C"/>
    <w:rsid w:val="003B1ABB"/>
    <w:rsid w:val="003E60D8"/>
    <w:rsid w:val="00476646"/>
    <w:rsid w:val="00482BEF"/>
    <w:rsid w:val="0049358C"/>
    <w:rsid w:val="004A1EE1"/>
    <w:rsid w:val="004C0F67"/>
    <w:rsid w:val="004C7446"/>
    <w:rsid w:val="004D11D2"/>
    <w:rsid w:val="004E248C"/>
    <w:rsid w:val="004F191A"/>
    <w:rsid w:val="005006E3"/>
    <w:rsid w:val="00511038"/>
    <w:rsid w:val="00533DDC"/>
    <w:rsid w:val="005401F7"/>
    <w:rsid w:val="005738A4"/>
    <w:rsid w:val="005A2492"/>
    <w:rsid w:val="005D1065"/>
    <w:rsid w:val="005D723B"/>
    <w:rsid w:val="006002D4"/>
    <w:rsid w:val="00630BED"/>
    <w:rsid w:val="00645D8B"/>
    <w:rsid w:val="00667915"/>
    <w:rsid w:val="006802A7"/>
    <w:rsid w:val="006A28CC"/>
    <w:rsid w:val="006B36EC"/>
    <w:rsid w:val="006D5CBC"/>
    <w:rsid w:val="006D71FC"/>
    <w:rsid w:val="00737B8F"/>
    <w:rsid w:val="0077232D"/>
    <w:rsid w:val="0078674E"/>
    <w:rsid w:val="0079468B"/>
    <w:rsid w:val="007B7009"/>
    <w:rsid w:val="007C5814"/>
    <w:rsid w:val="007F536E"/>
    <w:rsid w:val="00812443"/>
    <w:rsid w:val="00815920"/>
    <w:rsid w:val="00863EE8"/>
    <w:rsid w:val="00884E1C"/>
    <w:rsid w:val="008C5C5B"/>
    <w:rsid w:val="008D7F3A"/>
    <w:rsid w:val="008E5618"/>
    <w:rsid w:val="00905349"/>
    <w:rsid w:val="00926352"/>
    <w:rsid w:val="009325ED"/>
    <w:rsid w:val="00934143"/>
    <w:rsid w:val="0094357D"/>
    <w:rsid w:val="00947961"/>
    <w:rsid w:val="00960A4B"/>
    <w:rsid w:val="0097687B"/>
    <w:rsid w:val="009857A2"/>
    <w:rsid w:val="009916E6"/>
    <w:rsid w:val="009B3842"/>
    <w:rsid w:val="009B5F1E"/>
    <w:rsid w:val="009C5C7C"/>
    <w:rsid w:val="009D695E"/>
    <w:rsid w:val="009F7298"/>
    <w:rsid w:val="00A170BC"/>
    <w:rsid w:val="00A24CF9"/>
    <w:rsid w:val="00A43D31"/>
    <w:rsid w:val="00A77F0B"/>
    <w:rsid w:val="00A913BB"/>
    <w:rsid w:val="00A9478C"/>
    <w:rsid w:val="00A97A76"/>
    <w:rsid w:val="00AB3FF2"/>
    <w:rsid w:val="00AC2FC6"/>
    <w:rsid w:val="00B1523A"/>
    <w:rsid w:val="00BB2818"/>
    <w:rsid w:val="00BB6533"/>
    <w:rsid w:val="00BE7AB1"/>
    <w:rsid w:val="00BF0395"/>
    <w:rsid w:val="00C17CA7"/>
    <w:rsid w:val="00C479C8"/>
    <w:rsid w:val="00C82A8C"/>
    <w:rsid w:val="00CA6386"/>
    <w:rsid w:val="00CB1D62"/>
    <w:rsid w:val="00CC316A"/>
    <w:rsid w:val="00CD3713"/>
    <w:rsid w:val="00D02C74"/>
    <w:rsid w:val="00D045F2"/>
    <w:rsid w:val="00D168AB"/>
    <w:rsid w:val="00D5065A"/>
    <w:rsid w:val="00D52611"/>
    <w:rsid w:val="00DA54DA"/>
    <w:rsid w:val="00DB111E"/>
    <w:rsid w:val="00DD0168"/>
    <w:rsid w:val="00DE755F"/>
    <w:rsid w:val="00DF1270"/>
    <w:rsid w:val="00E23D44"/>
    <w:rsid w:val="00E275FB"/>
    <w:rsid w:val="00E4145A"/>
    <w:rsid w:val="00E722DC"/>
    <w:rsid w:val="00E753C3"/>
    <w:rsid w:val="00E96961"/>
    <w:rsid w:val="00EA0C52"/>
    <w:rsid w:val="00EA1120"/>
    <w:rsid w:val="00EA3370"/>
    <w:rsid w:val="00ED0444"/>
    <w:rsid w:val="00EF69CA"/>
    <w:rsid w:val="00F13760"/>
    <w:rsid w:val="00F14599"/>
    <w:rsid w:val="00F2629B"/>
    <w:rsid w:val="00F34C8F"/>
    <w:rsid w:val="00F50E41"/>
    <w:rsid w:val="00F627BB"/>
    <w:rsid w:val="00F8173E"/>
    <w:rsid w:val="00FC6E54"/>
    <w:rsid w:val="00FD6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166A9"/>
  <w15:docId w15:val="{712980AB-B897-48D3-961C-28FB95FE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00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00C"/>
    <w:pPr>
      <w:ind w:left="720"/>
      <w:contextualSpacing/>
    </w:pPr>
  </w:style>
  <w:style w:type="table" w:styleId="a4">
    <w:name w:val="Table Grid"/>
    <w:basedOn w:val="a1"/>
    <w:uiPriority w:val="39"/>
    <w:rsid w:val="004F1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72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2DC"/>
    <w:rPr>
      <w:rFonts w:ascii="Segoe UI" w:hAnsi="Segoe UI" w:cs="Segoe UI"/>
      <w:sz w:val="18"/>
      <w:szCs w:val="18"/>
      <w:lang w:val="uk-UA"/>
    </w:rPr>
  </w:style>
  <w:style w:type="paragraph" w:styleId="a7">
    <w:name w:val="header"/>
    <w:basedOn w:val="a"/>
    <w:link w:val="a8"/>
    <w:uiPriority w:val="99"/>
    <w:unhideWhenUsed/>
    <w:rsid w:val="00A91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913BB"/>
    <w:rPr>
      <w:lang w:val="uk-UA"/>
    </w:rPr>
  </w:style>
  <w:style w:type="paragraph" w:styleId="a9">
    <w:name w:val="footer"/>
    <w:basedOn w:val="a"/>
    <w:link w:val="aa"/>
    <w:uiPriority w:val="99"/>
    <w:unhideWhenUsed/>
    <w:rsid w:val="00A91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13BB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11</Pages>
  <Words>2270</Words>
  <Characters>12943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Osyka</dc:creator>
  <cp:keywords/>
  <dc:description/>
  <cp:lastModifiedBy>user</cp:lastModifiedBy>
  <cp:revision>155</cp:revision>
  <dcterms:created xsi:type="dcterms:W3CDTF">2019-07-23T12:36:00Z</dcterms:created>
  <dcterms:modified xsi:type="dcterms:W3CDTF">2020-11-27T10:44:00Z</dcterms:modified>
</cp:coreProperties>
</file>